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7ECE" w:rsidRDefault="00A87ECE">
      <w:pPr>
        <w:pStyle w:val="BodyText"/>
        <w:kinsoku w:val="0"/>
        <w:overflowPunct w:val="0"/>
        <w:rPr>
          <w:rFonts w:ascii="Times New Roman" w:hAnsi="Times New Roman" w:cs="Times New Roman"/>
          <w:sz w:val="20"/>
          <w:szCs w:val="20"/>
        </w:rPr>
      </w:pPr>
    </w:p>
    <w:p w:rsidR="00A87ECE" w:rsidRDefault="00A87ECE">
      <w:pPr>
        <w:pStyle w:val="BodyText"/>
        <w:kinsoku w:val="0"/>
        <w:overflowPunct w:val="0"/>
        <w:spacing w:before="6"/>
        <w:rPr>
          <w:rFonts w:ascii="Times New Roman" w:hAnsi="Times New Roman" w:cs="Times New Roman"/>
          <w:sz w:val="20"/>
          <w:szCs w:val="20"/>
        </w:rPr>
      </w:pPr>
    </w:p>
    <w:p w:rsidR="00A87ECE" w:rsidRPr="008A07DF" w:rsidRDefault="00BD0EF3">
      <w:pPr>
        <w:pStyle w:val="BodyText"/>
        <w:kinsoku w:val="0"/>
        <w:overflowPunct w:val="0"/>
        <w:ind w:left="4105" w:right="4106"/>
        <w:jc w:val="center"/>
        <w:rPr>
          <w:b/>
          <w:bCs/>
          <w:sz w:val="20"/>
          <w:szCs w:val="20"/>
        </w:rPr>
      </w:pPr>
      <w:bookmarkStart w:id="0" w:name="DOCUMENT_HISTORY_LOG"/>
      <w:bookmarkEnd w:id="0"/>
      <w:r w:rsidRPr="008A07DF">
        <w:rPr>
          <w:b/>
          <w:bCs/>
          <w:sz w:val="20"/>
          <w:szCs w:val="20"/>
        </w:rPr>
        <w:t>DOCUMENT HISTORY LOG</w:t>
      </w:r>
      <w:bookmarkStart w:id="1" w:name="_GoBack"/>
      <w:bookmarkEnd w:id="1"/>
    </w:p>
    <w:p w:rsidR="00A87ECE" w:rsidRDefault="00A87ECE">
      <w:pPr>
        <w:pStyle w:val="BodyText"/>
        <w:kinsoku w:val="0"/>
        <w:overflowPunct w:val="0"/>
        <w:spacing w:before="5" w:after="1"/>
        <w:rPr>
          <w:b/>
          <w:bCs/>
          <w:sz w:val="10"/>
          <w:szCs w:val="10"/>
        </w:rPr>
      </w:pPr>
    </w:p>
    <w:tbl>
      <w:tblPr>
        <w:tblW w:w="0" w:type="auto"/>
        <w:tblInd w:w="174" w:type="dxa"/>
        <w:tblLayout w:type="fixed"/>
        <w:tblCellMar>
          <w:left w:w="0" w:type="dxa"/>
          <w:right w:w="0" w:type="dxa"/>
        </w:tblCellMar>
        <w:tblLook w:val="0000" w:firstRow="0" w:lastRow="0" w:firstColumn="0" w:lastColumn="0" w:noHBand="0" w:noVBand="0"/>
      </w:tblPr>
      <w:tblGrid>
        <w:gridCol w:w="1200"/>
        <w:gridCol w:w="1483"/>
        <w:gridCol w:w="2088"/>
        <w:gridCol w:w="5767"/>
      </w:tblGrid>
      <w:tr w:rsidR="00A87ECE" w:rsidRPr="002B4430">
        <w:trPr>
          <w:trHeight w:val="721"/>
        </w:trPr>
        <w:tc>
          <w:tcPr>
            <w:tcW w:w="1200" w:type="dxa"/>
            <w:tcBorders>
              <w:top w:val="single" w:sz="18" w:space="0" w:color="000000"/>
              <w:left w:val="single" w:sz="18" w:space="0" w:color="000000"/>
              <w:bottom w:val="single" w:sz="4" w:space="0" w:color="000000"/>
              <w:right w:val="single" w:sz="4" w:space="0" w:color="000000"/>
            </w:tcBorders>
            <w:shd w:val="clear" w:color="auto" w:fill="F3F3F3"/>
          </w:tcPr>
          <w:p w:rsidR="00A87ECE" w:rsidRPr="002B4430" w:rsidRDefault="00A87ECE">
            <w:pPr>
              <w:pStyle w:val="TableParagraph"/>
              <w:kinsoku w:val="0"/>
              <w:overflowPunct w:val="0"/>
              <w:spacing w:before="4"/>
              <w:rPr>
                <w:b/>
                <w:bCs/>
                <w:sz w:val="21"/>
                <w:szCs w:val="21"/>
              </w:rPr>
            </w:pPr>
          </w:p>
          <w:p w:rsidR="00A87ECE" w:rsidRPr="002B4430" w:rsidRDefault="00BD0EF3">
            <w:pPr>
              <w:pStyle w:val="TableParagraph"/>
              <w:kinsoku w:val="0"/>
              <w:overflowPunct w:val="0"/>
              <w:ind w:left="162"/>
              <w:rPr>
                <w:b/>
                <w:bCs/>
                <w:sz w:val="20"/>
                <w:szCs w:val="20"/>
                <w:vertAlign w:val="superscript"/>
              </w:rPr>
            </w:pPr>
            <w:r w:rsidRPr="002B4430">
              <w:rPr>
                <w:b/>
                <w:bCs/>
                <w:sz w:val="20"/>
                <w:szCs w:val="20"/>
              </w:rPr>
              <w:t>STATUS</w:t>
            </w:r>
            <w:r w:rsidRPr="002B4430">
              <w:rPr>
                <w:b/>
                <w:bCs/>
                <w:sz w:val="20"/>
                <w:szCs w:val="20"/>
                <w:vertAlign w:val="superscript"/>
              </w:rPr>
              <w:t>1</w:t>
            </w:r>
          </w:p>
        </w:tc>
        <w:tc>
          <w:tcPr>
            <w:tcW w:w="1483" w:type="dxa"/>
            <w:tcBorders>
              <w:top w:val="single" w:sz="18" w:space="0" w:color="000000"/>
              <w:left w:val="single" w:sz="4" w:space="0" w:color="000000"/>
              <w:bottom w:val="single" w:sz="4" w:space="0" w:color="000000"/>
              <w:right w:val="single" w:sz="4" w:space="0" w:color="000000"/>
            </w:tcBorders>
            <w:shd w:val="clear" w:color="auto" w:fill="F3F3F3"/>
          </w:tcPr>
          <w:p w:rsidR="00A87ECE" w:rsidRPr="002B4430" w:rsidRDefault="00BD0EF3">
            <w:pPr>
              <w:pStyle w:val="TableParagraph"/>
              <w:kinsoku w:val="0"/>
              <w:overflowPunct w:val="0"/>
              <w:spacing w:before="130"/>
              <w:ind w:left="244" w:hanging="65"/>
              <w:rPr>
                <w:b/>
                <w:bCs/>
                <w:sz w:val="20"/>
                <w:szCs w:val="20"/>
                <w:vertAlign w:val="superscript"/>
              </w:rPr>
            </w:pPr>
            <w:r w:rsidRPr="002B4430">
              <w:rPr>
                <w:b/>
                <w:bCs/>
                <w:w w:val="95"/>
                <w:sz w:val="20"/>
                <w:szCs w:val="20"/>
              </w:rPr>
              <w:t xml:space="preserve">DOCUMENT </w:t>
            </w:r>
            <w:r w:rsidRPr="002B4430">
              <w:rPr>
                <w:b/>
                <w:bCs/>
                <w:sz w:val="20"/>
                <w:szCs w:val="20"/>
              </w:rPr>
              <w:t>REVISION</w:t>
            </w:r>
            <w:r w:rsidRPr="002B4430">
              <w:rPr>
                <w:b/>
                <w:bCs/>
                <w:sz w:val="20"/>
                <w:szCs w:val="20"/>
                <w:vertAlign w:val="superscript"/>
              </w:rPr>
              <w:t>2</w:t>
            </w:r>
          </w:p>
        </w:tc>
        <w:tc>
          <w:tcPr>
            <w:tcW w:w="2088" w:type="dxa"/>
            <w:tcBorders>
              <w:top w:val="single" w:sz="18" w:space="0" w:color="000000"/>
              <w:left w:val="single" w:sz="4" w:space="0" w:color="000000"/>
              <w:bottom w:val="single" w:sz="4" w:space="0" w:color="000000"/>
              <w:right w:val="single" w:sz="4" w:space="0" w:color="000000"/>
            </w:tcBorders>
            <w:shd w:val="clear" w:color="auto" w:fill="F3F3F3"/>
          </w:tcPr>
          <w:p w:rsidR="00A87ECE" w:rsidRPr="002B4430" w:rsidRDefault="00A87ECE">
            <w:pPr>
              <w:pStyle w:val="TableParagraph"/>
              <w:kinsoku w:val="0"/>
              <w:overflowPunct w:val="0"/>
              <w:spacing w:before="4"/>
              <w:rPr>
                <w:b/>
                <w:bCs/>
                <w:sz w:val="21"/>
                <w:szCs w:val="21"/>
              </w:rPr>
            </w:pPr>
          </w:p>
          <w:p w:rsidR="00A87ECE" w:rsidRPr="002B4430" w:rsidRDefault="00BD0EF3">
            <w:pPr>
              <w:pStyle w:val="TableParagraph"/>
              <w:kinsoku w:val="0"/>
              <w:overflowPunct w:val="0"/>
              <w:ind w:right="166"/>
              <w:jc w:val="right"/>
              <w:rPr>
                <w:b/>
                <w:bCs/>
                <w:sz w:val="20"/>
                <w:szCs w:val="20"/>
              </w:rPr>
            </w:pPr>
            <w:r w:rsidRPr="002B4430">
              <w:rPr>
                <w:b/>
                <w:bCs/>
                <w:sz w:val="20"/>
                <w:szCs w:val="20"/>
              </w:rPr>
              <w:t>EFFECTIVE DATE</w:t>
            </w:r>
          </w:p>
        </w:tc>
        <w:tc>
          <w:tcPr>
            <w:tcW w:w="5767" w:type="dxa"/>
            <w:tcBorders>
              <w:top w:val="single" w:sz="18" w:space="0" w:color="000000"/>
              <w:left w:val="single" w:sz="4" w:space="0" w:color="000000"/>
              <w:bottom w:val="single" w:sz="4" w:space="0" w:color="000000"/>
              <w:right w:val="single" w:sz="18" w:space="0" w:color="000000"/>
            </w:tcBorders>
            <w:shd w:val="clear" w:color="auto" w:fill="F3F3F3"/>
          </w:tcPr>
          <w:p w:rsidR="00A87ECE" w:rsidRPr="002B4430" w:rsidRDefault="00A87ECE">
            <w:pPr>
              <w:pStyle w:val="TableParagraph"/>
              <w:kinsoku w:val="0"/>
              <w:overflowPunct w:val="0"/>
              <w:spacing w:before="4"/>
              <w:rPr>
                <w:b/>
                <w:bCs/>
                <w:sz w:val="21"/>
                <w:szCs w:val="21"/>
              </w:rPr>
            </w:pPr>
          </w:p>
          <w:p w:rsidR="00A87ECE" w:rsidRPr="002B4430" w:rsidRDefault="00BD0EF3">
            <w:pPr>
              <w:pStyle w:val="TableParagraph"/>
              <w:kinsoku w:val="0"/>
              <w:overflowPunct w:val="0"/>
              <w:ind w:left="2160" w:right="2099"/>
              <w:jc w:val="center"/>
              <w:rPr>
                <w:b/>
                <w:bCs/>
                <w:sz w:val="20"/>
                <w:szCs w:val="20"/>
                <w:vertAlign w:val="superscript"/>
              </w:rPr>
            </w:pPr>
            <w:r w:rsidRPr="002B4430">
              <w:rPr>
                <w:b/>
                <w:bCs/>
                <w:sz w:val="20"/>
                <w:szCs w:val="20"/>
              </w:rPr>
              <w:t>DESCRIPTION</w:t>
            </w:r>
            <w:r w:rsidRPr="002B4430">
              <w:rPr>
                <w:b/>
                <w:bCs/>
                <w:sz w:val="20"/>
                <w:szCs w:val="20"/>
                <w:vertAlign w:val="superscript"/>
              </w:rPr>
              <w:t>3</w:t>
            </w:r>
          </w:p>
        </w:tc>
      </w:tr>
      <w:tr w:rsidR="008A07DF" w:rsidRPr="002B4430">
        <w:trPr>
          <w:trHeight w:val="1739"/>
        </w:trPr>
        <w:tc>
          <w:tcPr>
            <w:tcW w:w="1200" w:type="dxa"/>
            <w:tcBorders>
              <w:top w:val="single" w:sz="4" w:space="0" w:color="000000"/>
              <w:left w:val="single" w:sz="18"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21"/>
                <w:szCs w:val="21"/>
              </w:rPr>
            </w:pPr>
          </w:p>
          <w:p w:rsidR="00A87ECE" w:rsidRPr="002B4430" w:rsidRDefault="00BD0EF3">
            <w:pPr>
              <w:pStyle w:val="TableParagraph"/>
              <w:kinsoku w:val="0"/>
              <w:overflowPunct w:val="0"/>
              <w:ind w:left="215"/>
              <w:rPr>
                <w:color w:val="000000"/>
                <w:sz w:val="20"/>
                <w:szCs w:val="20"/>
              </w:rPr>
            </w:pPr>
            <w:r w:rsidRPr="002B4430">
              <w:rPr>
                <w:color w:val="000000"/>
                <w:sz w:val="20"/>
                <w:szCs w:val="20"/>
              </w:rPr>
              <w:t>Baseline</w:t>
            </w:r>
          </w:p>
        </w:tc>
        <w:tc>
          <w:tcPr>
            <w:tcW w:w="1483"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21"/>
                <w:szCs w:val="21"/>
              </w:rPr>
            </w:pPr>
          </w:p>
          <w:p w:rsidR="00A87ECE" w:rsidRPr="002B4430" w:rsidRDefault="00BD0EF3">
            <w:pPr>
              <w:pStyle w:val="TableParagraph"/>
              <w:kinsoku w:val="0"/>
              <w:overflowPunct w:val="0"/>
              <w:ind w:right="575"/>
              <w:jc w:val="right"/>
              <w:rPr>
                <w:color w:val="000000"/>
                <w:w w:val="95"/>
                <w:sz w:val="20"/>
                <w:szCs w:val="20"/>
              </w:rPr>
            </w:pPr>
            <w:r w:rsidRPr="002B4430">
              <w:rPr>
                <w:color w:val="000000"/>
                <w:w w:val="95"/>
                <w:sz w:val="20"/>
                <w:szCs w:val="20"/>
              </w:rPr>
              <w:t>2.0</w:t>
            </w:r>
          </w:p>
        </w:tc>
        <w:tc>
          <w:tcPr>
            <w:tcW w:w="2088"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21"/>
                <w:szCs w:val="21"/>
              </w:rPr>
            </w:pPr>
          </w:p>
          <w:p w:rsidR="00A87ECE" w:rsidRPr="002B4430" w:rsidRDefault="00BD0EF3">
            <w:pPr>
              <w:pStyle w:val="TableParagraph"/>
              <w:kinsoku w:val="0"/>
              <w:overflowPunct w:val="0"/>
              <w:ind w:left="343"/>
              <w:rPr>
                <w:color w:val="000000"/>
                <w:sz w:val="20"/>
                <w:szCs w:val="20"/>
              </w:rPr>
            </w:pPr>
            <w:r w:rsidRPr="002B4430">
              <w:rPr>
                <w:color w:val="000000"/>
                <w:sz w:val="20"/>
                <w:szCs w:val="20"/>
              </w:rPr>
              <w:t>January 1, 2016</w:t>
            </w:r>
          </w:p>
        </w:tc>
        <w:tc>
          <w:tcPr>
            <w:tcW w:w="5767" w:type="dxa"/>
            <w:tcBorders>
              <w:top w:val="single" w:sz="4" w:space="0" w:color="000000"/>
              <w:left w:val="single" w:sz="4" w:space="0" w:color="000000"/>
              <w:bottom w:val="single" w:sz="4" w:space="0" w:color="000000"/>
              <w:right w:val="single" w:sz="18" w:space="0" w:color="000000"/>
            </w:tcBorders>
          </w:tcPr>
          <w:p w:rsidR="00A87ECE" w:rsidRPr="002B4430" w:rsidRDefault="00BD0EF3">
            <w:pPr>
              <w:pStyle w:val="TableParagraph"/>
              <w:kinsoku w:val="0"/>
              <w:overflowPunct w:val="0"/>
              <w:spacing w:before="119"/>
              <w:ind w:left="124" w:right="498"/>
              <w:rPr>
                <w:color w:val="000000"/>
                <w:sz w:val="20"/>
                <w:szCs w:val="20"/>
              </w:rPr>
            </w:pPr>
            <w:r w:rsidRPr="002B4430">
              <w:rPr>
                <w:color w:val="000000"/>
                <w:sz w:val="20"/>
                <w:szCs w:val="20"/>
              </w:rPr>
              <w:t>Initial version Uniform Managed Care Manual Chapter 10.1.12, “STAR+PLUS LTSS Quality Measures Technical Specifications.”</w:t>
            </w:r>
          </w:p>
          <w:p w:rsidR="00A87ECE" w:rsidRPr="002B4430" w:rsidRDefault="00BD0EF3">
            <w:pPr>
              <w:pStyle w:val="TableParagraph"/>
              <w:kinsoku w:val="0"/>
              <w:overflowPunct w:val="0"/>
              <w:spacing w:before="119"/>
              <w:ind w:left="124" w:right="114"/>
              <w:rPr>
                <w:color w:val="000000"/>
                <w:sz w:val="20"/>
                <w:szCs w:val="20"/>
              </w:rPr>
            </w:pPr>
            <w:r w:rsidRPr="002B4430">
              <w:rPr>
                <w:color w:val="000000"/>
                <w:sz w:val="20"/>
                <w:szCs w:val="20"/>
              </w:rPr>
              <w:t xml:space="preserve">Chapter 10.1.12 applies to contracts issued </w:t>
            </w:r>
            <w:proofErr w:type="gramStart"/>
            <w:r w:rsidRPr="002B4430">
              <w:rPr>
                <w:color w:val="000000"/>
                <w:sz w:val="20"/>
                <w:szCs w:val="20"/>
              </w:rPr>
              <w:t>as a result of</w:t>
            </w:r>
            <w:proofErr w:type="gramEnd"/>
            <w:r w:rsidRPr="002B4430">
              <w:rPr>
                <w:color w:val="000000"/>
                <w:sz w:val="20"/>
                <w:szCs w:val="20"/>
              </w:rPr>
              <w:t xml:space="preserve"> HHSC RFP numbers 529-10-0020, 529-12-0002, and 529-13-</w:t>
            </w:r>
          </w:p>
          <w:p w:rsidR="00A87ECE" w:rsidRPr="002B4430" w:rsidRDefault="00BD0EF3">
            <w:pPr>
              <w:pStyle w:val="TableParagraph"/>
              <w:kinsoku w:val="0"/>
              <w:overflowPunct w:val="0"/>
              <w:spacing w:before="1"/>
              <w:ind w:left="124"/>
              <w:rPr>
                <w:color w:val="000000"/>
                <w:sz w:val="20"/>
                <w:szCs w:val="20"/>
              </w:rPr>
            </w:pPr>
            <w:r w:rsidRPr="002B4430">
              <w:rPr>
                <w:color w:val="000000"/>
                <w:sz w:val="20"/>
                <w:szCs w:val="20"/>
              </w:rPr>
              <w:t>0042.</w:t>
            </w:r>
          </w:p>
        </w:tc>
      </w:tr>
      <w:tr w:rsidR="008A07DF" w:rsidRPr="002B4430">
        <w:trPr>
          <w:trHeight w:val="1158"/>
        </w:trPr>
        <w:tc>
          <w:tcPr>
            <w:tcW w:w="1200" w:type="dxa"/>
            <w:tcBorders>
              <w:top w:val="single" w:sz="4" w:space="0" w:color="000000"/>
              <w:left w:val="single" w:sz="18"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left="215"/>
              <w:rPr>
                <w:color w:val="000000"/>
                <w:sz w:val="20"/>
                <w:szCs w:val="20"/>
              </w:rPr>
            </w:pPr>
            <w:r w:rsidRPr="002B4430">
              <w:rPr>
                <w:color w:val="000000"/>
                <w:sz w:val="20"/>
                <w:szCs w:val="20"/>
              </w:rPr>
              <w:t>Revision</w:t>
            </w:r>
          </w:p>
        </w:tc>
        <w:tc>
          <w:tcPr>
            <w:tcW w:w="1483"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right="575"/>
              <w:jc w:val="right"/>
              <w:rPr>
                <w:color w:val="000000"/>
                <w:w w:val="95"/>
                <w:sz w:val="20"/>
                <w:szCs w:val="20"/>
              </w:rPr>
            </w:pPr>
            <w:r w:rsidRPr="002B4430">
              <w:rPr>
                <w:color w:val="000000"/>
                <w:w w:val="95"/>
                <w:sz w:val="20"/>
                <w:szCs w:val="20"/>
              </w:rPr>
              <w:t>2.1</w:t>
            </w:r>
          </w:p>
        </w:tc>
        <w:tc>
          <w:tcPr>
            <w:tcW w:w="2088"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right="168"/>
              <w:jc w:val="right"/>
              <w:rPr>
                <w:color w:val="000000"/>
                <w:sz w:val="20"/>
                <w:szCs w:val="20"/>
              </w:rPr>
            </w:pPr>
            <w:r w:rsidRPr="002B4430">
              <w:rPr>
                <w:color w:val="000000"/>
                <w:sz w:val="20"/>
                <w:szCs w:val="20"/>
              </w:rPr>
              <w:t>September 1, 2018</w:t>
            </w:r>
          </w:p>
        </w:tc>
        <w:tc>
          <w:tcPr>
            <w:tcW w:w="5767" w:type="dxa"/>
            <w:tcBorders>
              <w:top w:val="single" w:sz="4" w:space="0" w:color="000000"/>
              <w:left w:val="single" w:sz="4" w:space="0" w:color="000000"/>
              <w:bottom w:val="single" w:sz="4" w:space="0" w:color="000000"/>
              <w:right w:val="single" w:sz="18" w:space="0" w:color="000000"/>
            </w:tcBorders>
          </w:tcPr>
          <w:p w:rsidR="00A87ECE" w:rsidRPr="002B4430" w:rsidRDefault="00BD0EF3">
            <w:pPr>
              <w:pStyle w:val="TableParagraph"/>
              <w:kinsoku w:val="0"/>
              <w:overflowPunct w:val="0"/>
              <w:spacing w:before="119"/>
              <w:ind w:left="124" w:right="126"/>
              <w:rPr>
                <w:color w:val="000000"/>
                <w:sz w:val="20"/>
                <w:szCs w:val="20"/>
              </w:rPr>
            </w:pPr>
            <w:r w:rsidRPr="002B4430">
              <w:rPr>
                <w:color w:val="000000"/>
                <w:sz w:val="20"/>
                <w:szCs w:val="20"/>
              </w:rPr>
              <w:t>Chapter modified to add applicability for STAR Kids under RFP number 529-13-0071, revise the chapter title and measures to account for the inclusion of STAR Kids, and remove the service coordinator hotline measure.</w:t>
            </w:r>
          </w:p>
        </w:tc>
      </w:tr>
      <w:tr w:rsidR="008A07DF" w:rsidRPr="002B4430">
        <w:trPr>
          <w:trHeight w:val="1161"/>
        </w:trPr>
        <w:tc>
          <w:tcPr>
            <w:tcW w:w="1200" w:type="dxa"/>
            <w:tcBorders>
              <w:top w:val="single" w:sz="4" w:space="0" w:color="000000"/>
              <w:left w:val="single" w:sz="18"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left="107"/>
              <w:rPr>
                <w:color w:val="000000"/>
                <w:sz w:val="20"/>
                <w:szCs w:val="20"/>
              </w:rPr>
            </w:pPr>
            <w:r w:rsidRPr="002B4430">
              <w:rPr>
                <w:color w:val="000000"/>
                <w:sz w:val="20"/>
                <w:szCs w:val="20"/>
              </w:rPr>
              <w:t>Revision</w:t>
            </w:r>
          </w:p>
        </w:tc>
        <w:tc>
          <w:tcPr>
            <w:tcW w:w="1483"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left="345"/>
              <w:rPr>
                <w:color w:val="000000"/>
                <w:sz w:val="20"/>
                <w:szCs w:val="20"/>
              </w:rPr>
            </w:pPr>
            <w:r w:rsidRPr="002B4430">
              <w:rPr>
                <w:color w:val="000000"/>
                <w:sz w:val="20"/>
                <w:szCs w:val="20"/>
              </w:rPr>
              <w:t>2.2</w:t>
            </w:r>
          </w:p>
        </w:tc>
        <w:tc>
          <w:tcPr>
            <w:tcW w:w="2088"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spacing w:before="5"/>
              <w:rPr>
                <w:b/>
                <w:bCs/>
                <w:color w:val="000000"/>
                <w:sz w:val="18"/>
                <w:szCs w:val="18"/>
              </w:rPr>
            </w:pPr>
          </w:p>
          <w:p w:rsidR="00A87ECE" w:rsidRPr="002B4430" w:rsidRDefault="00BD0EF3">
            <w:pPr>
              <w:pStyle w:val="TableParagraph"/>
              <w:kinsoku w:val="0"/>
              <w:overflowPunct w:val="0"/>
              <w:ind w:left="125"/>
              <w:rPr>
                <w:color w:val="000000"/>
                <w:sz w:val="20"/>
                <w:szCs w:val="20"/>
              </w:rPr>
            </w:pPr>
            <w:r w:rsidRPr="002B4430">
              <w:rPr>
                <w:color w:val="000000"/>
                <w:sz w:val="20"/>
                <w:szCs w:val="20"/>
              </w:rPr>
              <w:t>November 15, 2018</w:t>
            </w:r>
          </w:p>
        </w:tc>
        <w:tc>
          <w:tcPr>
            <w:tcW w:w="5767" w:type="dxa"/>
            <w:tcBorders>
              <w:top w:val="single" w:sz="4" w:space="0" w:color="000000"/>
              <w:left w:val="single" w:sz="4" w:space="0" w:color="000000"/>
              <w:bottom w:val="single" w:sz="4" w:space="0" w:color="000000"/>
              <w:right w:val="single" w:sz="18" w:space="0" w:color="000000"/>
            </w:tcBorders>
          </w:tcPr>
          <w:p w:rsidR="00A87ECE" w:rsidRPr="002B4430" w:rsidRDefault="00BD0EF3">
            <w:pPr>
              <w:pStyle w:val="TableParagraph"/>
              <w:kinsoku w:val="0"/>
              <w:overflowPunct w:val="0"/>
              <w:spacing w:before="119"/>
              <w:ind w:left="125" w:right="569"/>
              <w:rPr>
                <w:color w:val="000000"/>
                <w:sz w:val="20"/>
                <w:szCs w:val="20"/>
              </w:rPr>
            </w:pPr>
            <w:r w:rsidRPr="002B4430">
              <w:rPr>
                <w:color w:val="000000"/>
                <w:sz w:val="20"/>
                <w:szCs w:val="20"/>
              </w:rPr>
              <w:t>PM#4 is modified to remove "Timeliness of Service Coordinator assignment after a request for a Service Coordinator is made by a Member not requiring a named Service Coordinator."</w:t>
            </w:r>
          </w:p>
        </w:tc>
      </w:tr>
      <w:tr w:rsidR="008A07DF" w:rsidRPr="002B4430">
        <w:trPr>
          <w:trHeight w:val="2080"/>
        </w:trPr>
        <w:tc>
          <w:tcPr>
            <w:tcW w:w="1200" w:type="dxa"/>
            <w:tcBorders>
              <w:top w:val="single" w:sz="4" w:space="0" w:color="000000"/>
              <w:left w:val="single" w:sz="18"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BD0EF3">
            <w:pPr>
              <w:pStyle w:val="TableParagraph"/>
              <w:kinsoku w:val="0"/>
              <w:overflowPunct w:val="0"/>
              <w:spacing w:before="164"/>
              <w:ind w:left="107"/>
              <w:rPr>
                <w:color w:val="000000"/>
                <w:sz w:val="20"/>
                <w:szCs w:val="20"/>
              </w:rPr>
            </w:pPr>
            <w:r w:rsidRPr="002B4430">
              <w:rPr>
                <w:color w:val="000000"/>
                <w:sz w:val="20"/>
                <w:szCs w:val="20"/>
              </w:rPr>
              <w:t>Revision</w:t>
            </w:r>
          </w:p>
        </w:tc>
        <w:tc>
          <w:tcPr>
            <w:tcW w:w="1483"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BD0EF3">
            <w:pPr>
              <w:pStyle w:val="TableParagraph"/>
              <w:kinsoku w:val="0"/>
              <w:overflowPunct w:val="0"/>
              <w:spacing w:before="164"/>
              <w:ind w:left="124"/>
              <w:rPr>
                <w:color w:val="000000"/>
                <w:sz w:val="20"/>
                <w:szCs w:val="20"/>
              </w:rPr>
            </w:pPr>
            <w:r w:rsidRPr="002B4430">
              <w:rPr>
                <w:color w:val="000000"/>
                <w:sz w:val="20"/>
                <w:szCs w:val="20"/>
              </w:rPr>
              <w:t>2.3</w:t>
            </w:r>
          </w:p>
        </w:tc>
        <w:tc>
          <w:tcPr>
            <w:tcW w:w="2088"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A87ECE">
            <w:pPr>
              <w:pStyle w:val="TableParagraph"/>
              <w:kinsoku w:val="0"/>
              <w:overflowPunct w:val="0"/>
              <w:rPr>
                <w:b/>
                <w:bCs/>
                <w:color w:val="000000"/>
                <w:sz w:val="22"/>
                <w:szCs w:val="22"/>
              </w:rPr>
            </w:pPr>
          </w:p>
          <w:p w:rsidR="00A87ECE" w:rsidRPr="002B4430" w:rsidRDefault="00BD0EF3">
            <w:pPr>
              <w:pStyle w:val="TableParagraph"/>
              <w:kinsoku w:val="0"/>
              <w:overflowPunct w:val="0"/>
              <w:spacing w:before="164"/>
              <w:ind w:left="125"/>
              <w:rPr>
                <w:color w:val="000000"/>
                <w:sz w:val="20"/>
                <w:szCs w:val="20"/>
              </w:rPr>
            </w:pPr>
            <w:r w:rsidRPr="002B4430">
              <w:rPr>
                <w:color w:val="000000"/>
                <w:sz w:val="20"/>
                <w:szCs w:val="20"/>
              </w:rPr>
              <w:t>April 5, 2021</w:t>
            </w:r>
          </w:p>
        </w:tc>
        <w:tc>
          <w:tcPr>
            <w:tcW w:w="5767" w:type="dxa"/>
            <w:tcBorders>
              <w:top w:val="single" w:sz="4" w:space="0" w:color="000000"/>
              <w:left w:val="single" w:sz="4" w:space="0" w:color="000000"/>
              <w:bottom w:val="single" w:sz="4" w:space="0" w:color="000000"/>
              <w:right w:val="single" w:sz="18" w:space="0" w:color="000000"/>
            </w:tcBorders>
          </w:tcPr>
          <w:p w:rsidR="00A87ECE" w:rsidRPr="002B4430" w:rsidRDefault="00BD0EF3">
            <w:pPr>
              <w:pStyle w:val="TableParagraph"/>
              <w:kinsoku w:val="0"/>
              <w:overflowPunct w:val="0"/>
              <w:spacing w:before="119"/>
              <w:ind w:left="124" w:right="126"/>
              <w:rPr>
                <w:color w:val="000000"/>
                <w:sz w:val="20"/>
                <w:szCs w:val="20"/>
              </w:rPr>
            </w:pPr>
            <w:r w:rsidRPr="002B4430">
              <w:rPr>
                <w:color w:val="000000"/>
                <w:sz w:val="20"/>
                <w:szCs w:val="20"/>
              </w:rPr>
              <w:t>PM#1 is deleted. PM#2 is deleted. PM#3 is renumbered to PM#1 and has been modified to change the term “non- emergency personal assistance services or personal care” to “community based attendant services” and provide contract references for timeliness requirements. This measure is being expanded to apply to STAR Health and Medicare Medicaid Dual Demonstration programs. PM#4 is deleted. PM#5 is renumbered to PM#2.</w:t>
            </w:r>
          </w:p>
        </w:tc>
      </w:tr>
      <w:tr w:rsidR="002B4430" w:rsidRPr="002B4430">
        <w:trPr>
          <w:trHeight w:val="920"/>
        </w:trPr>
        <w:tc>
          <w:tcPr>
            <w:tcW w:w="10538" w:type="dxa"/>
            <w:gridSpan w:val="4"/>
            <w:tcBorders>
              <w:top w:val="single" w:sz="4" w:space="0" w:color="000000"/>
              <w:left w:val="single" w:sz="18" w:space="0" w:color="000000"/>
              <w:bottom w:val="single" w:sz="18" w:space="0" w:color="000000"/>
              <w:right w:val="single" w:sz="18" w:space="0" w:color="000000"/>
            </w:tcBorders>
          </w:tcPr>
          <w:p w:rsidR="00A87ECE" w:rsidRPr="002B4430" w:rsidRDefault="00BD0EF3">
            <w:pPr>
              <w:pStyle w:val="TableParagraph"/>
              <w:kinsoku w:val="0"/>
              <w:overflowPunct w:val="0"/>
              <w:ind w:left="359" w:right="757" w:hanging="180"/>
              <w:rPr>
                <w:color w:val="000000"/>
                <w:sz w:val="16"/>
                <w:szCs w:val="16"/>
              </w:rPr>
            </w:pPr>
            <w:r w:rsidRPr="002B4430">
              <w:rPr>
                <w:b/>
                <w:bCs/>
                <w:color w:val="000000"/>
                <w:sz w:val="16"/>
                <w:szCs w:val="16"/>
                <w:vertAlign w:val="superscript"/>
              </w:rPr>
              <w:t>1</w:t>
            </w:r>
            <w:r w:rsidRPr="002B4430">
              <w:rPr>
                <w:b/>
                <w:bCs/>
                <w:color w:val="000000"/>
                <w:sz w:val="16"/>
                <w:szCs w:val="16"/>
              </w:rPr>
              <w:t xml:space="preserve"> </w:t>
            </w:r>
            <w:r w:rsidRPr="002B4430">
              <w:rPr>
                <w:color w:val="000000"/>
                <w:sz w:val="16"/>
                <w:szCs w:val="16"/>
              </w:rPr>
              <w:t>Status should be represented as “Baseline” for initial issuances, “Revision” for changes to the Baseline version, and “Cancellation” for withdrawn versions</w:t>
            </w:r>
          </w:p>
          <w:p w:rsidR="00A87ECE" w:rsidRPr="002B4430" w:rsidRDefault="00BD0EF3">
            <w:pPr>
              <w:pStyle w:val="TableParagraph"/>
              <w:kinsoku w:val="0"/>
              <w:overflowPunct w:val="0"/>
              <w:ind w:left="359" w:hanging="180"/>
              <w:rPr>
                <w:color w:val="000000"/>
                <w:sz w:val="16"/>
                <w:szCs w:val="16"/>
              </w:rPr>
            </w:pPr>
            <w:r w:rsidRPr="002B4430">
              <w:rPr>
                <w:color w:val="000000"/>
                <w:sz w:val="16"/>
                <w:szCs w:val="16"/>
                <w:vertAlign w:val="superscript"/>
              </w:rPr>
              <w:t>2</w:t>
            </w:r>
            <w:r w:rsidRPr="002B4430">
              <w:rPr>
                <w:color w:val="000000"/>
                <w:sz w:val="16"/>
                <w:szCs w:val="16"/>
              </w:rPr>
              <w:t xml:space="preserve"> Revisions should be numbered according to the version of the issuance and sequential numbering of the revision—e.g., “1.2” refers to the first version of the document and the second revision.</w:t>
            </w:r>
          </w:p>
          <w:p w:rsidR="00A87ECE" w:rsidRPr="002B4430" w:rsidRDefault="00BD0EF3">
            <w:pPr>
              <w:pStyle w:val="TableParagraph"/>
              <w:kinsoku w:val="0"/>
              <w:overflowPunct w:val="0"/>
              <w:spacing w:line="164" w:lineRule="exact"/>
              <w:ind w:left="179"/>
              <w:rPr>
                <w:color w:val="000000"/>
                <w:sz w:val="16"/>
                <w:szCs w:val="16"/>
              </w:rPr>
            </w:pPr>
            <w:r w:rsidRPr="002B4430">
              <w:rPr>
                <w:color w:val="000000"/>
                <w:sz w:val="16"/>
                <w:szCs w:val="16"/>
                <w:vertAlign w:val="superscript"/>
              </w:rPr>
              <w:t>3</w:t>
            </w:r>
            <w:r w:rsidRPr="002B4430">
              <w:rPr>
                <w:color w:val="000000"/>
                <w:sz w:val="16"/>
                <w:szCs w:val="16"/>
              </w:rPr>
              <w:t xml:space="preserve"> Brief description of the changes to the document made in the revision.</w:t>
            </w:r>
          </w:p>
        </w:tc>
      </w:tr>
    </w:tbl>
    <w:p w:rsidR="00A87ECE" w:rsidRPr="002B4430" w:rsidRDefault="00A87ECE">
      <w:pPr>
        <w:pStyle w:val="BodyText"/>
        <w:kinsoku w:val="0"/>
        <w:overflowPunct w:val="0"/>
        <w:rPr>
          <w:b/>
          <w:bCs/>
          <w:color w:val="000000"/>
          <w:sz w:val="22"/>
          <w:szCs w:val="22"/>
        </w:rPr>
      </w:pPr>
    </w:p>
    <w:p w:rsidR="00A87ECE" w:rsidRPr="002B4430" w:rsidRDefault="00A87ECE">
      <w:pPr>
        <w:pStyle w:val="BodyText"/>
        <w:kinsoku w:val="0"/>
        <w:overflowPunct w:val="0"/>
        <w:spacing w:before="10"/>
        <w:rPr>
          <w:b/>
          <w:bCs/>
          <w:color w:val="000000"/>
          <w:sz w:val="22"/>
          <w:szCs w:val="22"/>
        </w:rPr>
      </w:pPr>
    </w:p>
    <w:p w:rsidR="00A87ECE" w:rsidRPr="002B4430" w:rsidRDefault="00BD0EF3">
      <w:pPr>
        <w:pStyle w:val="Heading1"/>
        <w:kinsoku w:val="0"/>
        <w:overflowPunct w:val="0"/>
        <w:rPr>
          <w:color w:val="000000"/>
        </w:rPr>
      </w:pPr>
      <w:r w:rsidRPr="002B4430">
        <w:rPr>
          <w:color w:val="000000"/>
        </w:rPr>
        <w:t>Applicability of Chapter 10.1.12</w:t>
      </w:r>
    </w:p>
    <w:p w:rsidR="00A87ECE" w:rsidRPr="002B4430" w:rsidRDefault="00BD0EF3">
      <w:pPr>
        <w:pStyle w:val="BodyText"/>
        <w:kinsoku w:val="0"/>
        <w:overflowPunct w:val="0"/>
        <w:spacing w:before="120"/>
        <w:ind w:left="740" w:right="1096"/>
        <w:rPr>
          <w:color w:val="000000"/>
        </w:rPr>
      </w:pPr>
      <w:r w:rsidRPr="002B4430">
        <w:rPr>
          <w:color w:val="000000"/>
        </w:rPr>
        <w:t>This chapter applies to Managed Care Organizations (MCOs) participating in the STAR+PLUS, STAR Health, Medicare Medicaid Dual Demonstration and STAR Kids Programs. In this chapter, references to “Medicaid” or the “Medicaid Managed Care</w:t>
      </w:r>
    </w:p>
    <w:p w:rsidR="00A87ECE" w:rsidRPr="002B4430" w:rsidRDefault="00A87ECE">
      <w:pPr>
        <w:pStyle w:val="BodyText"/>
        <w:kinsoku w:val="0"/>
        <w:overflowPunct w:val="0"/>
        <w:spacing w:before="120"/>
        <w:ind w:left="740" w:right="1096"/>
        <w:rPr>
          <w:color w:val="000000"/>
        </w:rPr>
        <w:sectPr w:rsidR="00A87ECE" w:rsidRPr="002B4430">
          <w:headerReference w:type="default" r:id="rId6"/>
          <w:pgSz w:w="12240" w:h="15840"/>
          <w:pgMar w:top="3300" w:right="700" w:bottom="280" w:left="700" w:header="725" w:footer="0" w:gutter="0"/>
          <w:pgNumType w:start="1"/>
          <w:cols w:space="720"/>
          <w:noEndnote/>
        </w:sectPr>
      </w:pPr>
    </w:p>
    <w:p w:rsidR="00A87ECE" w:rsidRPr="002B4430" w:rsidRDefault="00A87ECE">
      <w:pPr>
        <w:pStyle w:val="BodyText"/>
        <w:kinsoku w:val="0"/>
        <w:overflowPunct w:val="0"/>
        <w:spacing w:before="3"/>
        <w:rPr>
          <w:color w:val="000000"/>
          <w:sz w:val="17"/>
          <w:szCs w:val="17"/>
        </w:rPr>
      </w:pPr>
    </w:p>
    <w:p w:rsidR="00A87ECE" w:rsidRPr="002B4430" w:rsidRDefault="00BD0EF3">
      <w:pPr>
        <w:pStyle w:val="BodyText"/>
        <w:kinsoku w:val="0"/>
        <w:overflowPunct w:val="0"/>
        <w:spacing w:before="92"/>
        <w:ind w:left="740" w:right="1169"/>
        <w:rPr>
          <w:color w:val="000000"/>
        </w:rPr>
      </w:pPr>
      <w:r w:rsidRPr="002B4430">
        <w:rPr>
          <w:color w:val="000000"/>
        </w:rPr>
        <w:t>Program(s)” apply to the STAR+PLUS, STAR Health, Medicare-Medicaid Dual Demonstration and STAR Kids Programs, hereinafter collectively referred to as “Programs”. The term “MCO” includes health maintenance organizations (HMOs), exclusive provider organizations (EPOs), insurers, and any other entities licensed or approved by the Texas Department of Insurance.</w:t>
      </w:r>
    </w:p>
    <w:p w:rsidR="00A87ECE" w:rsidRPr="002B4430" w:rsidRDefault="00BD0EF3">
      <w:pPr>
        <w:pStyle w:val="BodyText"/>
        <w:kinsoku w:val="0"/>
        <w:overflowPunct w:val="0"/>
        <w:spacing w:before="120"/>
        <w:ind w:left="740" w:right="821"/>
        <w:rPr>
          <w:color w:val="000000"/>
        </w:rPr>
      </w:pPr>
      <w:r w:rsidRPr="002B4430">
        <w:rPr>
          <w:color w:val="000000"/>
        </w:rPr>
        <w:t>The requirements in this chapter apply to all Programs referenced above, except where noted.</w:t>
      </w:r>
    </w:p>
    <w:p w:rsidR="00A87ECE" w:rsidRPr="002B4430" w:rsidRDefault="00A87ECE">
      <w:pPr>
        <w:pStyle w:val="BodyText"/>
        <w:kinsoku w:val="0"/>
        <w:overflowPunct w:val="0"/>
        <w:rPr>
          <w:color w:val="000000"/>
          <w:sz w:val="26"/>
          <w:szCs w:val="26"/>
        </w:rPr>
      </w:pPr>
    </w:p>
    <w:p w:rsidR="00A87ECE" w:rsidRPr="002B4430" w:rsidRDefault="00BD0EF3">
      <w:pPr>
        <w:pStyle w:val="Heading1"/>
        <w:kinsoku w:val="0"/>
        <w:overflowPunct w:val="0"/>
        <w:spacing w:before="217"/>
        <w:rPr>
          <w:color w:val="000000"/>
        </w:rPr>
      </w:pPr>
      <w:r w:rsidRPr="002B4430">
        <w:rPr>
          <w:color w:val="000000"/>
        </w:rPr>
        <w:t>Introduction</w:t>
      </w:r>
    </w:p>
    <w:p w:rsidR="00A87ECE" w:rsidRPr="002B4430" w:rsidRDefault="00BD0EF3">
      <w:pPr>
        <w:pStyle w:val="BodyText"/>
        <w:kinsoku w:val="0"/>
        <w:overflowPunct w:val="0"/>
        <w:spacing w:before="120"/>
        <w:ind w:left="740" w:right="797"/>
        <w:rPr>
          <w:color w:val="000000"/>
        </w:rPr>
      </w:pPr>
      <w:r w:rsidRPr="002B4430">
        <w:rPr>
          <w:color w:val="000000"/>
        </w:rPr>
        <w:t xml:space="preserve">HHSC stakeholders, both internal and external, had recognized a need for improved long-term services and supports measures for the STAR+PLUS home and community- based services program and the State Plan community-based </w:t>
      </w:r>
      <w:proofErr w:type="gramStart"/>
      <w:r w:rsidRPr="002B4430">
        <w:rPr>
          <w:color w:val="000000"/>
        </w:rPr>
        <w:t>long term</w:t>
      </w:r>
      <w:proofErr w:type="gramEnd"/>
      <w:r w:rsidRPr="002B4430">
        <w:rPr>
          <w:color w:val="000000"/>
        </w:rPr>
        <w:t xml:space="preserve"> services and supports. In the fall of 2013, HHSC convened a workgroup consisting of external stakeholders and representatives from the external quality review organization to develop a comprehensive set of performance measures that will provide data that allows the State to evaluate the quality of home and community-based services long- term services and supports provided through Medicaid managed care. These measures are included in the managed care quality dashboard.</w:t>
      </w:r>
    </w:p>
    <w:p w:rsidR="00A87ECE" w:rsidRPr="002B4430" w:rsidRDefault="00BD0EF3">
      <w:pPr>
        <w:pStyle w:val="BodyText"/>
        <w:kinsoku w:val="0"/>
        <w:overflowPunct w:val="0"/>
        <w:spacing w:before="121"/>
        <w:ind w:left="740" w:right="1049"/>
        <w:rPr>
          <w:color w:val="000000"/>
        </w:rPr>
      </w:pPr>
      <w:r w:rsidRPr="002B4430">
        <w:rPr>
          <w:color w:val="000000"/>
        </w:rPr>
        <w:t>With the implementation of STAR Kids, stakeholders expressed a desire for HHSC to track these measures for the STAR Kids Program as well.</w:t>
      </w:r>
    </w:p>
    <w:p w:rsidR="00A87ECE" w:rsidRPr="002B4430" w:rsidRDefault="00BD0EF3">
      <w:pPr>
        <w:pStyle w:val="BodyText"/>
        <w:kinsoku w:val="0"/>
        <w:overflowPunct w:val="0"/>
        <w:spacing w:before="115"/>
        <w:ind w:left="740" w:right="821"/>
        <w:rPr>
          <w:color w:val="000000"/>
        </w:rPr>
      </w:pPr>
      <w:r w:rsidRPr="002B4430">
        <w:rPr>
          <w:color w:val="000000"/>
        </w:rPr>
        <w:t>Rider 157 of the 86</w:t>
      </w:r>
      <w:proofErr w:type="spellStart"/>
      <w:r w:rsidRPr="002B4430">
        <w:rPr>
          <w:color w:val="000000"/>
          <w:position w:val="8"/>
          <w:sz w:val="16"/>
          <w:szCs w:val="16"/>
        </w:rPr>
        <w:t>th</w:t>
      </w:r>
      <w:proofErr w:type="spellEnd"/>
      <w:r w:rsidRPr="002B4430">
        <w:rPr>
          <w:color w:val="000000"/>
          <w:position w:val="8"/>
          <w:sz w:val="16"/>
          <w:szCs w:val="16"/>
        </w:rPr>
        <w:t xml:space="preserve"> </w:t>
      </w:r>
      <w:r w:rsidRPr="002B4430">
        <w:rPr>
          <w:color w:val="000000"/>
        </w:rPr>
        <w:t>legislative session required HHSC to develop enhanced network adequacy standards for Medicaid managed care organizations ensuring sufficient member access to community care attendants. These measures have been adjusted to meet this requirement effective March 1, 2021. Community attendant care services are defined as any personal care services provided by an unskilled attendant through managed care in Personal Assistance Services (PAS), Community First Choice (CFC), and Personal Care Services (PCS).</w:t>
      </w:r>
    </w:p>
    <w:p w:rsidR="00A87ECE" w:rsidRPr="002B4430" w:rsidRDefault="00BD0EF3">
      <w:pPr>
        <w:pStyle w:val="BodyText"/>
        <w:kinsoku w:val="0"/>
        <w:overflowPunct w:val="0"/>
        <w:spacing w:before="120"/>
        <w:ind w:left="740" w:right="755"/>
        <w:rPr>
          <w:color w:val="000000"/>
        </w:rPr>
      </w:pPr>
      <w:r w:rsidRPr="002B4430">
        <w:rPr>
          <w:color w:val="000000"/>
        </w:rPr>
        <w:t xml:space="preserve">In accordance with the applicable Contract, MCOs must file quarterly Long-Term Services and Supports Reports using the template in UMCM Chapter 10.1.11. Quarterly reports are due 30 days after the end of each calendar year quarter and should be emailed to </w:t>
      </w:r>
      <w:hyperlink r:id="rId7" w:history="1">
        <w:r w:rsidRPr="002B4430">
          <w:rPr>
            <w:color w:val="000000"/>
          </w:rPr>
          <w:t>MCD_managed_care_quality@hhsc.state.tx.us.</w:t>
        </w:r>
      </w:hyperlink>
    </w:p>
    <w:p w:rsidR="00A87ECE" w:rsidRPr="002B4430" w:rsidRDefault="00A87ECE">
      <w:pPr>
        <w:pStyle w:val="BodyText"/>
        <w:kinsoku w:val="0"/>
        <w:overflowPunct w:val="0"/>
        <w:spacing w:before="120"/>
        <w:ind w:left="740" w:right="755"/>
        <w:rPr>
          <w:color w:val="000000"/>
        </w:rPr>
        <w:sectPr w:rsidR="00A87ECE" w:rsidRPr="002B4430">
          <w:pgSz w:w="12240" w:h="15840"/>
          <w:pgMar w:top="3300" w:right="700" w:bottom="280" w:left="700" w:header="725" w:footer="0" w:gutter="0"/>
          <w:cols w:space="720"/>
          <w:noEndnote/>
        </w:sect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spacing w:before="7"/>
        <w:rPr>
          <w:color w:val="000000"/>
          <w:sz w:val="13"/>
          <w:szCs w:val="13"/>
        </w:rPr>
      </w:pPr>
    </w:p>
    <w:tbl>
      <w:tblPr>
        <w:tblW w:w="0" w:type="auto"/>
        <w:tblInd w:w="576" w:type="dxa"/>
        <w:tblLayout w:type="fixed"/>
        <w:tblCellMar>
          <w:left w:w="0" w:type="dxa"/>
          <w:right w:w="0" w:type="dxa"/>
        </w:tblCellMar>
        <w:tblLook w:val="0000" w:firstRow="0" w:lastRow="0" w:firstColumn="0" w:lastColumn="0" w:noHBand="0" w:noVBand="0"/>
      </w:tblPr>
      <w:tblGrid>
        <w:gridCol w:w="3961"/>
        <w:gridCol w:w="6021"/>
      </w:tblGrid>
      <w:tr w:rsidR="008A07DF" w:rsidRPr="002B4430">
        <w:trPr>
          <w:trHeight w:val="332"/>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line="268" w:lineRule="exact"/>
              <w:ind w:left="200"/>
              <w:rPr>
                <w:b/>
                <w:bCs/>
                <w:color w:val="000000"/>
              </w:rPr>
            </w:pPr>
            <w:r w:rsidRPr="002B4430">
              <w:rPr>
                <w:b/>
                <w:bCs/>
                <w:color w:val="000000"/>
              </w:rPr>
              <w:t>Domain:</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line="268" w:lineRule="exact"/>
              <w:ind w:left="107"/>
              <w:rPr>
                <w:color w:val="000000"/>
              </w:rPr>
            </w:pPr>
            <w:r w:rsidRPr="002B4430">
              <w:rPr>
                <w:color w:val="000000"/>
              </w:rPr>
              <w:t>Timeliness</w:t>
            </w:r>
          </w:p>
        </w:tc>
      </w:tr>
      <w:tr w:rsidR="008A07DF" w:rsidRPr="002B4430">
        <w:trPr>
          <w:trHeight w:val="948"/>
        </w:trPr>
        <w:tc>
          <w:tcPr>
            <w:tcW w:w="3961" w:type="dxa"/>
            <w:tcBorders>
              <w:top w:val="none" w:sz="6" w:space="0" w:color="auto"/>
              <w:left w:val="none" w:sz="6" w:space="0" w:color="auto"/>
              <w:bottom w:val="none" w:sz="6" w:space="0" w:color="auto"/>
              <w:right w:val="none" w:sz="6" w:space="0" w:color="auto"/>
            </w:tcBorders>
          </w:tcPr>
          <w:p w:rsidR="00A87ECE" w:rsidRPr="002B4430" w:rsidRDefault="00A87ECE">
            <w:pPr>
              <w:pStyle w:val="TableParagraph"/>
              <w:kinsoku w:val="0"/>
              <w:overflowPunct w:val="0"/>
              <w:spacing w:before="10"/>
              <w:rPr>
                <w:color w:val="000000"/>
                <w:sz w:val="28"/>
                <w:szCs w:val="28"/>
              </w:rPr>
            </w:pPr>
          </w:p>
          <w:p w:rsidR="00A87ECE" w:rsidRPr="002B4430" w:rsidRDefault="00BD0EF3">
            <w:pPr>
              <w:pStyle w:val="TableParagraph"/>
              <w:kinsoku w:val="0"/>
              <w:overflowPunct w:val="0"/>
              <w:ind w:left="200"/>
              <w:rPr>
                <w:b/>
                <w:bCs/>
                <w:color w:val="000000"/>
              </w:rPr>
            </w:pPr>
            <w:r w:rsidRPr="002B4430">
              <w:rPr>
                <w:b/>
                <w:bCs/>
                <w:color w:val="000000"/>
              </w:rPr>
              <w:t>Performance Measure #1:</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ight="251"/>
              <w:rPr>
                <w:color w:val="000000"/>
              </w:rPr>
            </w:pPr>
            <w:r w:rsidRPr="002B4430">
              <w:rPr>
                <w:color w:val="000000"/>
              </w:rPr>
              <w:t>Timeliness of initiation of community based attendant services after managed care organization authorization of services.</w:t>
            </w:r>
          </w:p>
        </w:tc>
      </w:tr>
      <w:tr w:rsidR="008A07DF" w:rsidRPr="002B4430">
        <w:trPr>
          <w:trHeight w:val="2604"/>
        </w:trPr>
        <w:tc>
          <w:tcPr>
            <w:tcW w:w="3961" w:type="dxa"/>
            <w:tcBorders>
              <w:top w:val="none" w:sz="6" w:space="0" w:color="auto"/>
              <w:left w:val="none" w:sz="6" w:space="0" w:color="auto"/>
              <w:bottom w:val="none" w:sz="6" w:space="0" w:color="auto"/>
              <w:right w:val="none" w:sz="6" w:space="0" w:color="auto"/>
            </w:tcBorders>
          </w:tcPr>
          <w:p w:rsidR="00A87ECE" w:rsidRPr="002B4430" w:rsidRDefault="00A87ECE">
            <w:pPr>
              <w:pStyle w:val="TableParagraph"/>
              <w:kinsoku w:val="0"/>
              <w:overflowPunct w:val="0"/>
              <w:rPr>
                <w:color w:val="000000"/>
                <w:sz w:val="26"/>
                <w:szCs w:val="26"/>
              </w:rPr>
            </w:pPr>
          </w:p>
          <w:p w:rsidR="00A87ECE" w:rsidRPr="002B4430" w:rsidRDefault="00A87ECE">
            <w:pPr>
              <w:pStyle w:val="TableParagraph"/>
              <w:kinsoku w:val="0"/>
              <w:overflowPunct w:val="0"/>
              <w:rPr>
                <w:color w:val="000000"/>
                <w:sz w:val="26"/>
                <w:szCs w:val="26"/>
              </w:rPr>
            </w:pPr>
          </w:p>
          <w:p w:rsidR="00A87ECE" w:rsidRPr="002B4430" w:rsidRDefault="00A87ECE">
            <w:pPr>
              <w:pStyle w:val="TableParagraph"/>
              <w:kinsoku w:val="0"/>
              <w:overflowPunct w:val="0"/>
              <w:rPr>
                <w:color w:val="000000"/>
                <w:sz w:val="26"/>
                <w:szCs w:val="26"/>
              </w:rPr>
            </w:pPr>
          </w:p>
          <w:p w:rsidR="00A87ECE" w:rsidRPr="002B4430" w:rsidRDefault="00A87ECE">
            <w:pPr>
              <w:pStyle w:val="TableParagraph"/>
              <w:kinsoku w:val="0"/>
              <w:overflowPunct w:val="0"/>
              <w:spacing w:before="10"/>
              <w:rPr>
                <w:color w:val="000000"/>
                <w:sz w:val="22"/>
                <w:szCs w:val="22"/>
              </w:rPr>
            </w:pPr>
          </w:p>
          <w:p w:rsidR="00A87ECE" w:rsidRPr="002B4430" w:rsidRDefault="00BD0EF3">
            <w:pPr>
              <w:pStyle w:val="TableParagraph"/>
              <w:kinsoku w:val="0"/>
              <w:overflowPunct w:val="0"/>
              <w:ind w:left="200"/>
              <w:rPr>
                <w:b/>
                <w:bCs/>
                <w:color w:val="000000"/>
              </w:rPr>
            </w:pPr>
            <w:r w:rsidRPr="002B4430">
              <w:rPr>
                <w:b/>
                <w:bCs/>
                <w:color w:val="000000"/>
              </w:rPr>
              <w:t>Numerator:</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ight="197"/>
              <w:rPr>
                <w:color w:val="000000"/>
              </w:rPr>
            </w:pPr>
            <w:r w:rsidRPr="002B4430">
              <w:rPr>
                <w:color w:val="000000"/>
              </w:rPr>
              <w:t>Number of instances of new community based attendant services initiated within established MCO timeliness standards. Timeliness is defined as 7 days per UMCC 8.1.3.1, STAR PLUS Expansion Managed Care Contract 8.1.3.1, STAR PLUS MRSA Managed Care Contract 8.1.3.1, STAR Health Managed Care Contract 8.1.3.1, STAR Kids Managed Care Contract 8.1.3.1and the Medicare Medicaid Dual Demonstration Managed Care Contract 2.7.1.3.1.</w:t>
            </w:r>
          </w:p>
        </w:tc>
      </w:tr>
      <w:tr w:rsidR="008A07DF" w:rsidRPr="002B4430">
        <w:trPr>
          <w:trHeight w:val="948"/>
        </w:trPr>
        <w:tc>
          <w:tcPr>
            <w:tcW w:w="3961" w:type="dxa"/>
            <w:tcBorders>
              <w:top w:val="none" w:sz="6" w:space="0" w:color="auto"/>
              <w:left w:val="none" w:sz="6" w:space="0" w:color="auto"/>
              <w:bottom w:val="none" w:sz="6" w:space="0" w:color="auto"/>
              <w:right w:val="none" w:sz="6" w:space="0" w:color="auto"/>
            </w:tcBorders>
          </w:tcPr>
          <w:p w:rsidR="00A87ECE" w:rsidRPr="002B4430" w:rsidRDefault="00A87ECE">
            <w:pPr>
              <w:pStyle w:val="TableParagraph"/>
              <w:kinsoku w:val="0"/>
              <w:overflowPunct w:val="0"/>
              <w:spacing w:before="10"/>
              <w:rPr>
                <w:color w:val="000000"/>
                <w:sz w:val="28"/>
                <w:szCs w:val="28"/>
              </w:rPr>
            </w:pPr>
          </w:p>
          <w:p w:rsidR="00A87ECE" w:rsidRPr="002B4430" w:rsidRDefault="00BD0EF3">
            <w:pPr>
              <w:pStyle w:val="TableParagraph"/>
              <w:kinsoku w:val="0"/>
              <w:overflowPunct w:val="0"/>
              <w:ind w:left="200"/>
              <w:rPr>
                <w:b/>
                <w:bCs/>
                <w:color w:val="000000"/>
              </w:rPr>
            </w:pPr>
            <w:r w:rsidRPr="002B4430">
              <w:rPr>
                <w:b/>
                <w:bCs/>
                <w:color w:val="000000"/>
              </w:rPr>
              <w:t>Denominator:</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ight="811"/>
              <w:rPr>
                <w:color w:val="000000"/>
              </w:rPr>
            </w:pPr>
            <w:r w:rsidRPr="002B4430">
              <w:rPr>
                <w:color w:val="000000"/>
              </w:rPr>
              <w:t>Number of instances of new community based attendant services service initiations reflected in electronic visit verification data.</w:t>
            </w:r>
          </w:p>
        </w:tc>
      </w:tr>
      <w:tr w:rsidR="008A07DF" w:rsidRPr="002B4430">
        <w:trPr>
          <w:trHeight w:val="395"/>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200"/>
              <w:rPr>
                <w:b/>
                <w:bCs/>
                <w:color w:val="000000"/>
              </w:rPr>
            </w:pPr>
            <w:r w:rsidRPr="002B4430">
              <w:rPr>
                <w:b/>
                <w:bCs/>
                <w:color w:val="000000"/>
              </w:rPr>
              <w:t>Data Source Identified:</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Pr>
                <w:color w:val="000000"/>
              </w:rPr>
            </w:pPr>
            <w:r w:rsidRPr="002B4430">
              <w:rPr>
                <w:color w:val="000000"/>
              </w:rPr>
              <w:t>MCO reported</w:t>
            </w:r>
          </w:p>
        </w:tc>
      </w:tr>
      <w:tr w:rsidR="008A07DF" w:rsidRPr="002B4430">
        <w:trPr>
          <w:trHeight w:val="396"/>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200"/>
              <w:rPr>
                <w:b/>
                <w:bCs/>
                <w:color w:val="000000"/>
              </w:rPr>
            </w:pPr>
            <w:r w:rsidRPr="002B4430">
              <w:rPr>
                <w:b/>
                <w:bCs/>
                <w:color w:val="000000"/>
              </w:rPr>
              <w:t>Frequency of Data Aggregation:</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Pr>
                <w:color w:val="000000"/>
              </w:rPr>
            </w:pPr>
            <w:r w:rsidRPr="002B4430">
              <w:rPr>
                <w:color w:val="000000"/>
              </w:rPr>
              <w:t>Annual</w:t>
            </w:r>
          </w:p>
        </w:tc>
      </w:tr>
      <w:tr w:rsidR="008A07DF" w:rsidRPr="002B4430">
        <w:trPr>
          <w:trHeight w:val="647"/>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224"/>
              <w:ind w:left="200"/>
              <w:rPr>
                <w:b/>
                <w:bCs/>
                <w:color w:val="000000"/>
              </w:rPr>
            </w:pPr>
            <w:r w:rsidRPr="002B4430">
              <w:rPr>
                <w:b/>
                <w:bCs/>
                <w:color w:val="000000"/>
              </w:rPr>
              <w:t>First Reporting Period:</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Pr>
                <w:color w:val="000000"/>
              </w:rPr>
            </w:pPr>
            <w:r w:rsidRPr="002B4430">
              <w:rPr>
                <w:color w:val="000000"/>
              </w:rPr>
              <w:t>April 2021 – June 2021, due July 2021</w:t>
            </w:r>
          </w:p>
        </w:tc>
      </w:tr>
      <w:tr w:rsidR="002B4430" w:rsidRPr="002B4430">
        <w:trPr>
          <w:trHeight w:val="692"/>
        </w:trPr>
        <w:tc>
          <w:tcPr>
            <w:tcW w:w="3961" w:type="dxa"/>
            <w:tcBorders>
              <w:top w:val="none" w:sz="6" w:space="0" w:color="auto"/>
              <w:left w:val="none" w:sz="6" w:space="0" w:color="auto"/>
              <w:bottom w:val="none" w:sz="6" w:space="0" w:color="auto"/>
              <w:right w:val="none" w:sz="6" w:space="0" w:color="auto"/>
            </w:tcBorders>
          </w:tcPr>
          <w:p w:rsidR="00A87ECE" w:rsidRPr="002B4430" w:rsidRDefault="00A87ECE">
            <w:pPr>
              <w:pStyle w:val="TableParagraph"/>
              <w:kinsoku w:val="0"/>
              <w:overflowPunct w:val="0"/>
              <w:rPr>
                <w:color w:val="000000"/>
              </w:rPr>
            </w:pPr>
          </w:p>
          <w:p w:rsidR="00A87ECE" w:rsidRPr="002B4430" w:rsidRDefault="00BD0EF3">
            <w:pPr>
              <w:pStyle w:val="TableParagraph"/>
              <w:kinsoku w:val="0"/>
              <w:overflowPunct w:val="0"/>
              <w:spacing w:before="1"/>
              <w:ind w:left="200"/>
              <w:rPr>
                <w:b/>
                <w:bCs/>
                <w:color w:val="000000"/>
              </w:rPr>
            </w:pPr>
            <w:r w:rsidRPr="002B4430">
              <w:rPr>
                <w:b/>
                <w:bCs/>
                <w:color w:val="000000"/>
              </w:rPr>
              <w:t>Ongoing Reporting Periods:</w:t>
            </w:r>
          </w:p>
        </w:tc>
        <w:tc>
          <w:tcPr>
            <w:tcW w:w="602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140" w:line="270" w:lineRule="atLeast"/>
              <w:ind w:left="107" w:right="184"/>
              <w:rPr>
                <w:color w:val="000000"/>
              </w:rPr>
            </w:pPr>
            <w:r w:rsidRPr="002B4430">
              <w:rPr>
                <w:color w:val="000000"/>
              </w:rPr>
              <w:t>Quarterly by calendar year, reported 30 days after the end of each quarter.</w:t>
            </w:r>
          </w:p>
        </w:tc>
      </w:tr>
    </w:tbl>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spacing w:before="5"/>
        <w:rPr>
          <w:color w:val="000000"/>
          <w:sz w:val="18"/>
          <w:szCs w:val="18"/>
        </w:rPr>
      </w:pPr>
    </w:p>
    <w:tbl>
      <w:tblPr>
        <w:tblW w:w="0" w:type="auto"/>
        <w:tblInd w:w="576" w:type="dxa"/>
        <w:tblLayout w:type="fixed"/>
        <w:tblCellMar>
          <w:left w:w="0" w:type="dxa"/>
          <w:right w:w="0" w:type="dxa"/>
        </w:tblCellMar>
        <w:tblLook w:val="0000" w:firstRow="0" w:lastRow="0" w:firstColumn="0" w:lastColumn="0" w:noHBand="0" w:noVBand="0"/>
      </w:tblPr>
      <w:tblGrid>
        <w:gridCol w:w="3595"/>
        <w:gridCol w:w="6318"/>
      </w:tblGrid>
      <w:tr w:rsidR="008A07DF" w:rsidRPr="002B4430">
        <w:trPr>
          <w:trHeight w:val="332"/>
        </w:trPr>
        <w:tc>
          <w:tcPr>
            <w:tcW w:w="3595"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line="268" w:lineRule="exact"/>
              <w:ind w:left="200"/>
              <w:rPr>
                <w:b/>
                <w:bCs/>
                <w:color w:val="000000"/>
              </w:rPr>
            </w:pPr>
            <w:r w:rsidRPr="002B4430">
              <w:rPr>
                <w:b/>
                <w:bCs/>
                <w:color w:val="000000"/>
              </w:rPr>
              <w:t>Domain:</w:t>
            </w:r>
          </w:p>
        </w:tc>
        <w:tc>
          <w:tcPr>
            <w:tcW w:w="6318"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line="268" w:lineRule="exact"/>
              <w:ind w:left="473"/>
              <w:rPr>
                <w:color w:val="000000"/>
              </w:rPr>
            </w:pPr>
            <w:r w:rsidRPr="002B4430">
              <w:rPr>
                <w:color w:val="000000"/>
              </w:rPr>
              <w:t>Service Coordination</w:t>
            </w:r>
          </w:p>
        </w:tc>
      </w:tr>
      <w:tr w:rsidR="008A07DF" w:rsidRPr="002B4430">
        <w:trPr>
          <w:trHeight w:val="332"/>
        </w:trPr>
        <w:tc>
          <w:tcPr>
            <w:tcW w:w="3595"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line="256" w:lineRule="exact"/>
              <w:ind w:left="200"/>
              <w:rPr>
                <w:b/>
                <w:bCs/>
                <w:color w:val="000000"/>
              </w:rPr>
            </w:pPr>
            <w:r w:rsidRPr="002B4430">
              <w:rPr>
                <w:b/>
                <w:bCs/>
                <w:color w:val="000000"/>
              </w:rPr>
              <w:t>Performance Measure #2:</w:t>
            </w:r>
          </w:p>
        </w:tc>
        <w:tc>
          <w:tcPr>
            <w:tcW w:w="6318"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line="256" w:lineRule="exact"/>
              <w:ind w:left="473"/>
              <w:rPr>
                <w:color w:val="000000"/>
              </w:rPr>
            </w:pPr>
            <w:r w:rsidRPr="002B4430">
              <w:rPr>
                <w:color w:val="000000"/>
              </w:rPr>
              <w:t>Quarterly turnover rate for field Service Coordinators.</w:t>
            </w:r>
          </w:p>
        </w:tc>
      </w:tr>
    </w:tbl>
    <w:p w:rsidR="00A87ECE" w:rsidRPr="002B4430" w:rsidRDefault="00A87ECE">
      <w:pPr>
        <w:rPr>
          <w:color w:val="000000"/>
          <w:sz w:val="18"/>
          <w:szCs w:val="18"/>
        </w:rPr>
        <w:sectPr w:rsidR="00A87ECE" w:rsidRPr="002B4430">
          <w:pgSz w:w="12240" w:h="15840"/>
          <w:pgMar w:top="3300" w:right="700" w:bottom="280" w:left="700" w:header="725" w:footer="0" w:gutter="0"/>
          <w:cols w:space="720"/>
          <w:noEndnote/>
        </w:sectPr>
      </w:pPr>
    </w:p>
    <w:p w:rsidR="00A87ECE" w:rsidRPr="002B4430" w:rsidRDefault="00A87ECE">
      <w:pPr>
        <w:pStyle w:val="BodyText"/>
        <w:kinsoku w:val="0"/>
        <w:overflowPunct w:val="0"/>
        <w:rPr>
          <w:color w:val="000000"/>
          <w:sz w:val="20"/>
          <w:szCs w:val="20"/>
        </w:rPr>
      </w:pPr>
    </w:p>
    <w:p w:rsidR="00A87ECE" w:rsidRPr="002B4430" w:rsidRDefault="00A87ECE">
      <w:pPr>
        <w:pStyle w:val="BodyText"/>
        <w:kinsoku w:val="0"/>
        <w:overflowPunct w:val="0"/>
        <w:spacing w:before="2"/>
        <w:rPr>
          <w:color w:val="000000"/>
          <w:sz w:val="11"/>
          <w:szCs w:val="11"/>
        </w:rPr>
      </w:pPr>
    </w:p>
    <w:tbl>
      <w:tblPr>
        <w:tblW w:w="0" w:type="auto"/>
        <w:tblInd w:w="576" w:type="dxa"/>
        <w:tblLayout w:type="fixed"/>
        <w:tblCellMar>
          <w:left w:w="0" w:type="dxa"/>
          <w:right w:w="0" w:type="dxa"/>
        </w:tblCellMar>
        <w:tblLook w:val="0000" w:firstRow="0" w:lastRow="0" w:firstColumn="0" w:lastColumn="0" w:noHBand="0" w:noVBand="0"/>
      </w:tblPr>
      <w:tblGrid>
        <w:gridCol w:w="3961"/>
        <w:gridCol w:w="6022"/>
      </w:tblGrid>
      <w:tr w:rsidR="008A07DF" w:rsidRPr="002B4430">
        <w:trPr>
          <w:trHeight w:val="608"/>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131"/>
              <w:ind w:left="200"/>
              <w:rPr>
                <w:b/>
                <w:bCs/>
                <w:color w:val="000000"/>
              </w:rPr>
            </w:pPr>
            <w:r w:rsidRPr="002B4430">
              <w:rPr>
                <w:b/>
                <w:bCs/>
                <w:color w:val="000000"/>
              </w:rPr>
              <w:t>Numerator:</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ind w:left="107" w:right="212"/>
              <w:rPr>
                <w:color w:val="000000"/>
              </w:rPr>
            </w:pPr>
            <w:r w:rsidRPr="002B4430">
              <w:rPr>
                <w:color w:val="000000"/>
              </w:rPr>
              <w:t>Number of new Service Coordinator vacancies during quarter.</w:t>
            </w:r>
          </w:p>
        </w:tc>
      </w:tr>
      <w:tr w:rsidR="008A07DF" w:rsidRPr="002B4430">
        <w:trPr>
          <w:trHeight w:val="671"/>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195"/>
              <w:ind w:left="200"/>
              <w:rPr>
                <w:b/>
                <w:bCs/>
                <w:color w:val="000000"/>
              </w:rPr>
            </w:pPr>
            <w:r w:rsidRPr="002B4430">
              <w:rPr>
                <w:b/>
                <w:bCs/>
                <w:color w:val="000000"/>
              </w:rPr>
              <w:t>Denominator:</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ight="959"/>
              <w:rPr>
                <w:color w:val="000000"/>
              </w:rPr>
            </w:pPr>
            <w:r w:rsidRPr="002B4430">
              <w:rPr>
                <w:color w:val="000000"/>
              </w:rPr>
              <w:t>Number of Service Coordinators on first day of quarter.</w:t>
            </w:r>
          </w:p>
        </w:tc>
      </w:tr>
      <w:tr w:rsidR="008A07DF" w:rsidRPr="002B4430">
        <w:trPr>
          <w:trHeight w:val="395"/>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200"/>
              <w:rPr>
                <w:b/>
                <w:bCs/>
                <w:color w:val="000000"/>
              </w:rPr>
            </w:pPr>
            <w:r w:rsidRPr="002B4430">
              <w:rPr>
                <w:b/>
                <w:bCs/>
                <w:color w:val="000000"/>
              </w:rPr>
              <w:t>Data Source Identified:</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Pr>
                <w:color w:val="000000"/>
              </w:rPr>
            </w:pPr>
            <w:r w:rsidRPr="002B4430">
              <w:rPr>
                <w:color w:val="000000"/>
              </w:rPr>
              <w:t>MCO reported</w:t>
            </w:r>
          </w:p>
        </w:tc>
      </w:tr>
      <w:tr w:rsidR="008A07DF" w:rsidRPr="002B4430">
        <w:trPr>
          <w:trHeight w:val="396"/>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200"/>
              <w:rPr>
                <w:b/>
                <w:bCs/>
                <w:color w:val="000000"/>
              </w:rPr>
            </w:pPr>
            <w:r w:rsidRPr="002B4430">
              <w:rPr>
                <w:b/>
                <w:bCs/>
                <w:color w:val="000000"/>
              </w:rPr>
              <w:t>Frequency of Data Aggregation:</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Pr>
                <w:color w:val="000000"/>
              </w:rPr>
            </w:pPr>
            <w:r w:rsidRPr="002B4430">
              <w:rPr>
                <w:color w:val="000000"/>
              </w:rPr>
              <w:t>Annual</w:t>
            </w:r>
          </w:p>
        </w:tc>
      </w:tr>
      <w:tr w:rsidR="008A07DF" w:rsidRPr="002B4430">
        <w:trPr>
          <w:trHeight w:val="1284"/>
        </w:trPr>
        <w:tc>
          <w:tcPr>
            <w:tcW w:w="3961" w:type="dxa"/>
            <w:tcBorders>
              <w:top w:val="none" w:sz="6" w:space="0" w:color="auto"/>
              <w:left w:val="none" w:sz="6" w:space="0" w:color="auto"/>
              <w:bottom w:val="none" w:sz="6" w:space="0" w:color="auto"/>
              <w:right w:val="none" w:sz="6" w:space="0" w:color="auto"/>
            </w:tcBorders>
          </w:tcPr>
          <w:p w:rsidR="00A87ECE" w:rsidRPr="002B4430" w:rsidRDefault="00A87ECE">
            <w:pPr>
              <w:pStyle w:val="TableParagraph"/>
              <w:kinsoku w:val="0"/>
              <w:overflowPunct w:val="0"/>
              <w:rPr>
                <w:color w:val="000000"/>
                <w:sz w:val="26"/>
                <w:szCs w:val="26"/>
              </w:rPr>
            </w:pPr>
          </w:p>
          <w:p w:rsidR="00A87ECE" w:rsidRPr="002B4430" w:rsidRDefault="00BD0EF3">
            <w:pPr>
              <w:pStyle w:val="TableParagraph"/>
              <w:kinsoku w:val="0"/>
              <w:overflowPunct w:val="0"/>
              <w:spacing w:before="201"/>
              <w:ind w:left="200"/>
              <w:rPr>
                <w:b/>
                <w:bCs/>
                <w:color w:val="000000"/>
              </w:rPr>
            </w:pPr>
            <w:r w:rsidRPr="002B4430">
              <w:rPr>
                <w:b/>
                <w:bCs/>
                <w:color w:val="000000"/>
              </w:rPr>
              <w:t>First Reporting Period:</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ind w:left="107" w:right="852"/>
              <w:rPr>
                <w:color w:val="000000"/>
              </w:rPr>
            </w:pPr>
            <w:r w:rsidRPr="002B4430">
              <w:rPr>
                <w:color w:val="000000"/>
              </w:rPr>
              <w:t>March 2015 – February 2016, due March 30 for STAR+PLUS</w:t>
            </w:r>
          </w:p>
          <w:p w:rsidR="00A87ECE" w:rsidRPr="002B4430" w:rsidRDefault="00BD0EF3">
            <w:pPr>
              <w:pStyle w:val="TableParagraph"/>
              <w:kinsoku w:val="0"/>
              <w:overflowPunct w:val="0"/>
              <w:spacing w:before="60"/>
              <w:ind w:left="107" w:right="491"/>
              <w:rPr>
                <w:color w:val="000000"/>
              </w:rPr>
            </w:pPr>
            <w:r w:rsidRPr="002B4430">
              <w:rPr>
                <w:color w:val="000000"/>
              </w:rPr>
              <w:t>November 2016 - September 2018, due December 31, 2018, for STAR Kids</w:t>
            </w:r>
          </w:p>
        </w:tc>
      </w:tr>
      <w:tr w:rsidR="002B4430" w:rsidRPr="002B4430">
        <w:trPr>
          <w:trHeight w:val="608"/>
        </w:trPr>
        <w:tc>
          <w:tcPr>
            <w:tcW w:w="3961"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195"/>
              <w:ind w:left="200"/>
              <w:rPr>
                <w:b/>
                <w:bCs/>
                <w:color w:val="000000"/>
              </w:rPr>
            </w:pPr>
            <w:r w:rsidRPr="002B4430">
              <w:rPr>
                <w:b/>
                <w:bCs/>
                <w:color w:val="000000"/>
              </w:rPr>
              <w:t>Ongoing Reporting Periods:</w:t>
            </w:r>
          </w:p>
        </w:tc>
        <w:tc>
          <w:tcPr>
            <w:tcW w:w="6022" w:type="dxa"/>
            <w:tcBorders>
              <w:top w:val="none" w:sz="6" w:space="0" w:color="auto"/>
              <w:left w:val="none" w:sz="6" w:space="0" w:color="auto"/>
              <w:bottom w:val="none" w:sz="6" w:space="0" w:color="auto"/>
              <w:right w:val="none" w:sz="6" w:space="0" w:color="auto"/>
            </w:tcBorders>
          </w:tcPr>
          <w:p w:rsidR="00A87ECE" w:rsidRPr="002B4430" w:rsidRDefault="00BD0EF3">
            <w:pPr>
              <w:pStyle w:val="TableParagraph"/>
              <w:kinsoku w:val="0"/>
              <w:overflowPunct w:val="0"/>
              <w:spacing w:before="56" w:line="270" w:lineRule="atLeast"/>
              <w:ind w:left="107" w:right="185"/>
              <w:rPr>
                <w:color w:val="000000"/>
              </w:rPr>
            </w:pPr>
            <w:r w:rsidRPr="002B4430">
              <w:rPr>
                <w:color w:val="000000"/>
              </w:rPr>
              <w:t>Quarterly by calendar year, reported 30 days after the end of each quarter.</w:t>
            </w:r>
          </w:p>
        </w:tc>
      </w:tr>
    </w:tbl>
    <w:p w:rsidR="00BD0EF3" w:rsidRPr="002B4430" w:rsidRDefault="00BD0EF3">
      <w:pPr>
        <w:rPr>
          <w:color w:val="000000"/>
        </w:rPr>
      </w:pPr>
    </w:p>
    <w:p w:rsidR="00BD0EF3" w:rsidRPr="002B4430" w:rsidRDefault="00BD0EF3" w:rsidP="00BD0EF3">
      <w:pPr>
        <w:rPr>
          <w:color w:val="000000"/>
        </w:rPr>
      </w:pPr>
    </w:p>
    <w:p w:rsidR="00BD0EF3" w:rsidRPr="002B4430" w:rsidRDefault="00BD0EF3" w:rsidP="00BD0EF3">
      <w:pPr>
        <w:rPr>
          <w:color w:val="000000"/>
        </w:rPr>
      </w:pPr>
    </w:p>
    <w:p w:rsidR="00BD0EF3" w:rsidRPr="002B4430" w:rsidRDefault="00BD0EF3" w:rsidP="00BD0EF3">
      <w:pPr>
        <w:rPr>
          <w:color w:val="000000"/>
        </w:rPr>
      </w:pPr>
    </w:p>
    <w:p w:rsidR="00A87ECE" w:rsidRPr="002B4430" w:rsidRDefault="00A87ECE" w:rsidP="00BD0EF3">
      <w:pPr>
        <w:jc w:val="center"/>
        <w:rPr>
          <w:color w:val="000000"/>
        </w:rPr>
      </w:pPr>
    </w:p>
    <w:sectPr w:rsidR="00A87ECE" w:rsidRPr="002B4430">
      <w:pgSz w:w="12240" w:h="15840"/>
      <w:pgMar w:top="3300" w:right="700" w:bottom="280" w:left="700" w:header="72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30" w:rsidRDefault="002B4430">
      <w:r>
        <w:separator/>
      </w:r>
    </w:p>
  </w:endnote>
  <w:endnote w:type="continuationSeparator" w:id="0">
    <w:p w:rsidR="002B4430" w:rsidRDefault="002B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30" w:rsidRDefault="002B4430">
      <w:r>
        <w:separator/>
      </w:r>
    </w:p>
  </w:footnote>
  <w:footnote w:type="continuationSeparator" w:id="0">
    <w:p w:rsidR="002B4430" w:rsidRDefault="002B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CE" w:rsidRDefault="002B4430">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0.7pt;margin-top:36pt;width:529.7pt;height:130.7pt;z-index:1;mso-position-horizontal-relative:page;mso-position-vertical-relative:page" o:allowincell="f" filled="f" stroked="f">
          <v:textbox style="mso-next-textbox:#_x0000_s2049" inset="0,0,0,0">
            <w:txbxContent>
              <w:tbl>
                <w:tblPr>
                  <w:tblW w:w="0" w:type="auto"/>
                  <w:tblLayout w:type="fixed"/>
                  <w:tblCellMar>
                    <w:left w:w="0" w:type="dxa"/>
                    <w:right w:w="0" w:type="dxa"/>
                  </w:tblCellMar>
                  <w:tblLook w:val="0000" w:firstRow="0" w:lastRow="0" w:firstColumn="0" w:lastColumn="0" w:noHBand="0" w:noVBand="0"/>
                </w:tblPr>
                <w:tblGrid>
                  <w:gridCol w:w="1850"/>
                  <w:gridCol w:w="6160"/>
                  <w:gridCol w:w="1070"/>
                  <w:gridCol w:w="1480"/>
                </w:tblGrid>
                <w:tr w:rsidR="00A87ECE" w:rsidRPr="002B4430">
                  <w:trPr>
                    <w:trHeight w:val="764"/>
                  </w:trPr>
                  <w:tc>
                    <w:tcPr>
                      <w:tcW w:w="1850" w:type="dxa"/>
                      <w:vMerge w:val="restart"/>
                      <w:tcBorders>
                        <w:top w:val="none" w:sz="6" w:space="0" w:color="auto"/>
                        <w:left w:val="none" w:sz="6" w:space="0" w:color="auto"/>
                        <w:bottom w:val="single" w:sz="18" w:space="0" w:color="000000"/>
                        <w:right w:val="single" w:sz="4" w:space="0" w:color="000000"/>
                      </w:tcBorders>
                    </w:tcPr>
                    <w:p w:rsidR="00A87ECE" w:rsidRPr="002B4430" w:rsidRDefault="00A87ECE">
                      <w:pPr>
                        <w:pStyle w:val="TableParagraph"/>
                        <w:kinsoku w:val="0"/>
                        <w:overflowPunct w:val="0"/>
                        <w:rPr>
                          <w:rFonts w:ascii="Times New Roman" w:hAnsi="Times New Roman" w:cs="Times New Roman"/>
                          <w:sz w:val="18"/>
                          <w:szCs w:val="18"/>
                        </w:rPr>
                      </w:pPr>
                    </w:p>
                  </w:tc>
                  <w:tc>
                    <w:tcPr>
                      <w:tcW w:w="6160" w:type="dxa"/>
                      <w:tcBorders>
                        <w:top w:val="single" w:sz="4" w:space="0" w:color="000000"/>
                        <w:left w:val="single" w:sz="4" w:space="0" w:color="000000"/>
                        <w:bottom w:val="single" w:sz="4" w:space="0" w:color="000000"/>
                        <w:right w:val="single" w:sz="4" w:space="0" w:color="000000"/>
                      </w:tcBorders>
                    </w:tcPr>
                    <w:p w:rsidR="00A87ECE" w:rsidRPr="002B4430" w:rsidRDefault="00A87ECE">
                      <w:pPr>
                        <w:pStyle w:val="TableParagraph"/>
                        <w:kinsoku w:val="0"/>
                        <w:overflowPunct w:val="0"/>
                        <w:rPr>
                          <w:rFonts w:ascii="Times New Roman" w:hAnsi="Times New Roman" w:cs="Times New Roman"/>
                          <w:sz w:val="30"/>
                          <w:szCs w:val="30"/>
                        </w:rPr>
                      </w:pPr>
                    </w:p>
                    <w:p w:rsidR="00A87ECE" w:rsidRPr="002B4430" w:rsidRDefault="00BD0EF3">
                      <w:pPr>
                        <w:pStyle w:val="TableParagraph"/>
                        <w:kinsoku w:val="0"/>
                        <w:overflowPunct w:val="0"/>
                        <w:spacing w:before="1"/>
                        <w:ind w:left="585"/>
                        <w:rPr>
                          <w:b/>
                          <w:bCs/>
                        </w:rPr>
                      </w:pPr>
                      <w:r w:rsidRPr="002B4430">
                        <w:rPr>
                          <w:b/>
                          <w:bCs/>
                        </w:rPr>
                        <w:t>HHSC UNIFORM MANAGED CARE MANUAL</w:t>
                      </w:r>
                    </w:p>
                  </w:tc>
                  <w:tc>
                    <w:tcPr>
                      <w:tcW w:w="1070" w:type="dxa"/>
                      <w:tcBorders>
                        <w:top w:val="single" w:sz="4" w:space="0" w:color="000000"/>
                        <w:left w:val="single" w:sz="4" w:space="0" w:color="000000"/>
                        <w:bottom w:val="single" w:sz="4" w:space="0" w:color="000000"/>
                        <w:right w:val="single" w:sz="4" w:space="0" w:color="000000"/>
                      </w:tcBorders>
                    </w:tcPr>
                    <w:p w:rsidR="00A87ECE" w:rsidRPr="002B4430" w:rsidRDefault="00BD0EF3">
                      <w:pPr>
                        <w:pStyle w:val="TableParagraph"/>
                        <w:kinsoku w:val="0"/>
                        <w:overflowPunct w:val="0"/>
                        <w:spacing w:before="1"/>
                        <w:ind w:left="125"/>
                        <w:rPr>
                          <w:rFonts w:ascii="Calibri" w:hAnsi="Calibri" w:cs="Calibri"/>
                          <w:sz w:val="14"/>
                          <w:szCs w:val="14"/>
                        </w:rPr>
                      </w:pPr>
                      <w:r w:rsidRPr="002B4430">
                        <w:rPr>
                          <w:rFonts w:ascii="Calibri" w:hAnsi="Calibri" w:cs="Calibri"/>
                          <w:sz w:val="14"/>
                          <w:szCs w:val="14"/>
                        </w:rPr>
                        <w:t>CHAPTER</w:t>
                      </w:r>
                    </w:p>
                    <w:p w:rsidR="00A87ECE" w:rsidRPr="002B4430" w:rsidRDefault="00A87ECE">
                      <w:pPr>
                        <w:pStyle w:val="TableParagraph"/>
                        <w:kinsoku w:val="0"/>
                        <w:overflowPunct w:val="0"/>
                        <w:spacing w:before="1"/>
                        <w:rPr>
                          <w:rFonts w:ascii="Times New Roman" w:hAnsi="Times New Roman" w:cs="Times New Roman"/>
                          <w:sz w:val="15"/>
                          <w:szCs w:val="15"/>
                        </w:rPr>
                      </w:pPr>
                    </w:p>
                    <w:p w:rsidR="00A87ECE" w:rsidRPr="002B4430" w:rsidRDefault="00BD0EF3">
                      <w:pPr>
                        <w:pStyle w:val="TableParagraph"/>
                        <w:kinsoku w:val="0"/>
                        <w:overflowPunct w:val="0"/>
                        <w:ind w:left="125"/>
                        <w:rPr>
                          <w:b/>
                          <w:bCs/>
                        </w:rPr>
                      </w:pPr>
                      <w:r w:rsidRPr="002B4430">
                        <w:rPr>
                          <w:b/>
                          <w:bCs/>
                        </w:rPr>
                        <w:t>10.1.12</w:t>
                      </w:r>
                    </w:p>
                  </w:tc>
                  <w:tc>
                    <w:tcPr>
                      <w:tcW w:w="1480" w:type="dxa"/>
                      <w:tcBorders>
                        <w:top w:val="single" w:sz="4" w:space="0" w:color="000000"/>
                        <w:left w:val="single" w:sz="4" w:space="0" w:color="000000"/>
                        <w:bottom w:val="single" w:sz="4" w:space="0" w:color="000000"/>
                        <w:right w:val="single" w:sz="4" w:space="0" w:color="000000"/>
                      </w:tcBorders>
                    </w:tcPr>
                    <w:p w:rsidR="00A87ECE" w:rsidRPr="002B4430" w:rsidRDefault="00BD0EF3">
                      <w:pPr>
                        <w:pStyle w:val="TableParagraph"/>
                        <w:kinsoku w:val="0"/>
                        <w:overflowPunct w:val="0"/>
                        <w:spacing w:before="1"/>
                        <w:ind w:left="126"/>
                        <w:rPr>
                          <w:rFonts w:ascii="Calibri" w:hAnsi="Calibri" w:cs="Calibri"/>
                          <w:sz w:val="14"/>
                          <w:szCs w:val="14"/>
                        </w:rPr>
                      </w:pPr>
                      <w:r w:rsidRPr="002B4430">
                        <w:rPr>
                          <w:rFonts w:ascii="Calibri" w:hAnsi="Calibri" w:cs="Calibri"/>
                          <w:sz w:val="14"/>
                          <w:szCs w:val="14"/>
                        </w:rPr>
                        <w:t>PAGE</w:t>
                      </w:r>
                    </w:p>
                    <w:p w:rsidR="00A87ECE" w:rsidRPr="002B4430" w:rsidRDefault="00A87ECE">
                      <w:pPr>
                        <w:pStyle w:val="TableParagraph"/>
                        <w:kinsoku w:val="0"/>
                        <w:overflowPunct w:val="0"/>
                        <w:spacing w:before="1"/>
                        <w:rPr>
                          <w:rFonts w:ascii="Times New Roman" w:hAnsi="Times New Roman" w:cs="Times New Roman"/>
                          <w:sz w:val="15"/>
                          <w:szCs w:val="15"/>
                        </w:rPr>
                      </w:pPr>
                    </w:p>
                    <w:p w:rsidR="00A87ECE" w:rsidRPr="002B4430" w:rsidRDefault="00BD0EF3">
                      <w:pPr>
                        <w:pStyle w:val="TableParagraph"/>
                        <w:kinsoku w:val="0"/>
                        <w:overflowPunct w:val="0"/>
                        <w:ind w:left="445"/>
                        <w:rPr>
                          <w:b/>
                          <w:bCs/>
                        </w:rPr>
                      </w:pPr>
                      <w:r w:rsidRPr="002B4430">
                        <w:rPr>
                          <w:b/>
                          <w:bCs/>
                        </w:rPr>
                        <w:fldChar w:fldCharType="begin"/>
                      </w:r>
                      <w:r w:rsidRPr="002B4430">
                        <w:rPr>
                          <w:b/>
                          <w:bCs/>
                        </w:rPr>
                        <w:instrText xml:space="preserve"> PAGE </w:instrText>
                      </w:r>
                      <w:r w:rsidRPr="002B4430">
                        <w:rPr>
                          <w:b/>
                          <w:bCs/>
                        </w:rPr>
                        <w:fldChar w:fldCharType="separate"/>
                      </w:r>
                      <w:r w:rsidRPr="002B4430">
                        <w:rPr>
                          <w:b/>
                          <w:bCs/>
                          <w:noProof/>
                        </w:rPr>
                        <w:t>1</w:t>
                      </w:r>
                      <w:r w:rsidRPr="002B4430">
                        <w:rPr>
                          <w:b/>
                          <w:bCs/>
                        </w:rPr>
                        <w:fldChar w:fldCharType="end"/>
                      </w:r>
                      <w:r w:rsidRPr="002B4430">
                        <w:rPr>
                          <w:b/>
                          <w:bCs/>
                        </w:rPr>
                        <w:t xml:space="preserve">  of 4</w:t>
                      </w:r>
                    </w:p>
                  </w:tc>
                </w:tr>
                <w:tr w:rsidR="00A87ECE" w:rsidRPr="002B4430">
                  <w:trPr>
                    <w:trHeight w:val="581"/>
                  </w:trPr>
                  <w:tc>
                    <w:tcPr>
                      <w:tcW w:w="1850" w:type="dxa"/>
                      <w:vMerge/>
                      <w:tcBorders>
                        <w:top w:val="nil"/>
                        <w:left w:val="none" w:sz="6" w:space="0" w:color="auto"/>
                        <w:bottom w:val="single" w:sz="18" w:space="0" w:color="000000"/>
                        <w:right w:val="single" w:sz="4" w:space="0" w:color="000000"/>
                      </w:tcBorders>
                    </w:tcPr>
                    <w:p w:rsidR="00A87ECE" w:rsidRPr="002B4430" w:rsidRDefault="00A87ECE">
                      <w:pPr>
                        <w:rPr>
                          <w:rFonts w:ascii="Times New Roman" w:hAnsi="Times New Roman" w:cs="Times New Roman"/>
                          <w:sz w:val="2"/>
                          <w:szCs w:val="2"/>
                        </w:rPr>
                      </w:pPr>
                    </w:p>
                  </w:tc>
                  <w:tc>
                    <w:tcPr>
                      <w:tcW w:w="6160" w:type="dxa"/>
                      <w:vMerge w:val="restart"/>
                      <w:tcBorders>
                        <w:top w:val="single" w:sz="4" w:space="0" w:color="000000"/>
                        <w:left w:val="single" w:sz="4" w:space="0" w:color="000000"/>
                        <w:bottom w:val="single" w:sz="18" w:space="0" w:color="000000"/>
                        <w:right w:val="single" w:sz="4" w:space="0" w:color="000000"/>
                      </w:tcBorders>
                    </w:tcPr>
                    <w:p w:rsidR="00A87ECE" w:rsidRPr="002B4430" w:rsidRDefault="00A87ECE">
                      <w:pPr>
                        <w:pStyle w:val="TableParagraph"/>
                        <w:kinsoku w:val="0"/>
                        <w:overflowPunct w:val="0"/>
                        <w:rPr>
                          <w:rFonts w:ascii="Times New Roman" w:hAnsi="Times New Roman" w:cs="Times New Roman"/>
                          <w:sz w:val="26"/>
                          <w:szCs w:val="26"/>
                        </w:rPr>
                      </w:pPr>
                    </w:p>
                    <w:p w:rsidR="00A87ECE" w:rsidRPr="002B4430" w:rsidRDefault="00A87ECE">
                      <w:pPr>
                        <w:pStyle w:val="TableParagraph"/>
                        <w:kinsoku w:val="0"/>
                        <w:overflowPunct w:val="0"/>
                        <w:spacing w:before="2"/>
                        <w:rPr>
                          <w:rFonts w:ascii="Times New Roman" w:hAnsi="Times New Roman" w:cs="Times New Roman"/>
                          <w:sz w:val="37"/>
                          <w:szCs w:val="37"/>
                        </w:rPr>
                      </w:pPr>
                    </w:p>
                    <w:p w:rsidR="00A87ECE" w:rsidRPr="002B4430" w:rsidRDefault="00BD0EF3">
                      <w:pPr>
                        <w:pStyle w:val="TableParagraph"/>
                        <w:kinsoku w:val="0"/>
                        <w:overflowPunct w:val="0"/>
                        <w:ind w:left="328"/>
                        <w:rPr>
                          <w:b/>
                          <w:bCs/>
                        </w:rPr>
                      </w:pPr>
                      <w:r w:rsidRPr="002B4430">
                        <w:rPr>
                          <w:b/>
                          <w:bCs/>
                        </w:rPr>
                        <w:t>LTSS Quality Measures Technical Specifications</w:t>
                      </w:r>
                    </w:p>
                  </w:tc>
                  <w:tc>
                    <w:tcPr>
                      <w:tcW w:w="2550" w:type="dxa"/>
                      <w:gridSpan w:val="2"/>
                      <w:tcBorders>
                        <w:top w:val="single" w:sz="4" w:space="0" w:color="000000"/>
                        <w:left w:val="single" w:sz="4" w:space="0" w:color="000000"/>
                        <w:bottom w:val="single" w:sz="4" w:space="0" w:color="000000"/>
                        <w:right w:val="single" w:sz="4" w:space="0" w:color="000000"/>
                      </w:tcBorders>
                    </w:tcPr>
                    <w:p w:rsidR="00A87ECE" w:rsidRPr="002B4430" w:rsidRDefault="00BD0EF3">
                      <w:pPr>
                        <w:pStyle w:val="TableParagraph"/>
                        <w:kinsoku w:val="0"/>
                        <w:overflowPunct w:val="0"/>
                        <w:spacing w:before="19"/>
                        <w:ind w:left="125"/>
                        <w:rPr>
                          <w:rFonts w:ascii="Calibri" w:hAnsi="Calibri" w:cs="Calibri"/>
                          <w:sz w:val="14"/>
                          <w:szCs w:val="14"/>
                        </w:rPr>
                      </w:pPr>
                      <w:r w:rsidRPr="002B4430">
                        <w:rPr>
                          <w:rFonts w:ascii="Calibri" w:hAnsi="Calibri" w:cs="Calibri"/>
                          <w:sz w:val="14"/>
                          <w:szCs w:val="14"/>
                        </w:rPr>
                        <w:t>EFFECTIVE DATE</w:t>
                      </w:r>
                    </w:p>
                    <w:p w:rsidR="00A87ECE" w:rsidRPr="002B4430" w:rsidRDefault="00BD0EF3">
                      <w:pPr>
                        <w:pStyle w:val="TableParagraph"/>
                        <w:kinsoku w:val="0"/>
                        <w:overflowPunct w:val="0"/>
                        <w:spacing w:before="71"/>
                        <w:ind w:left="586"/>
                        <w:rPr>
                          <w:b/>
                          <w:bCs/>
                        </w:rPr>
                      </w:pPr>
                      <w:r w:rsidRPr="002B4430">
                        <w:rPr>
                          <w:b/>
                          <w:bCs/>
                        </w:rPr>
                        <w:t>April 5, 2021</w:t>
                      </w:r>
                    </w:p>
                  </w:tc>
                </w:tr>
                <w:tr w:rsidR="00A87ECE" w:rsidRPr="002B4430">
                  <w:trPr>
                    <w:trHeight w:val="1123"/>
                  </w:trPr>
                  <w:tc>
                    <w:tcPr>
                      <w:tcW w:w="1850" w:type="dxa"/>
                      <w:vMerge/>
                      <w:tcBorders>
                        <w:top w:val="nil"/>
                        <w:left w:val="none" w:sz="6" w:space="0" w:color="auto"/>
                        <w:bottom w:val="single" w:sz="18" w:space="0" w:color="000000"/>
                        <w:right w:val="single" w:sz="4" w:space="0" w:color="000000"/>
                      </w:tcBorders>
                    </w:tcPr>
                    <w:p w:rsidR="00A87ECE" w:rsidRPr="002B4430" w:rsidRDefault="00A87ECE">
                      <w:pPr>
                        <w:rPr>
                          <w:rFonts w:ascii="Times New Roman" w:hAnsi="Times New Roman" w:cs="Times New Roman"/>
                          <w:sz w:val="2"/>
                          <w:szCs w:val="2"/>
                        </w:rPr>
                      </w:pPr>
                    </w:p>
                  </w:tc>
                  <w:tc>
                    <w:tcPr>
                      <w:tcW w:w="6160" w:type="dxa"/>
                      <w:vMerge/>
                      <w:tcBorders>
                        <w:top w:val="nil"/>
                        <w:left w:val="single" w:sz="4" w:space="0" w:color="000000"/>
                        <w:bottom w:val="single" w:sz="18" w:space="0" w:color="000000"/>
                        <w:right w:val="single" w:sz="4" w:space="0" w:color="000000"/>
                      </w:tcBorders>
                    </w:tcPr>
                    <w:p w:rsidR="00A87ECE" w:rsidRPr="002B4430" w:rsidRDefault="00A87ECE">
                      <w:pPr>
                        <w:rPr>
                          <w:rFonts w:ascii="Times New Roman" w:hAnsi="Times New Roman" w:cs="Times New Roman"/>
                          <w:sz w:val="2"/>
                          <w:szCs w:val="2"/>
                        </w:rPr>
                      </w:pPr>
                    </w:p>
                  </w:tc>
                  <w:tc>
                    <w:tcPr>
                      <w:tcW w:w="2550" w:type="dxa"/>
                      <w:gridSpan w:val="2"/>
                      <w:tcBorders>
                        <w:top w:val="single" w:sz="4" w:space="0" w:color="000000"/>
                        <w:left w:val="single" w:sz="4" w:space="0" w:color="000000"/>
                        <w:bottom w:val="single" w:sz="18" w:space="0" w:color="000000"/>
                        <w:right w:val="single" w:sz="4" w:space="0" w:color="000000"/>
                      </w:tcBorders>
                    </w:tcPr>
                    <w:p w:rsidR="00A87ECE" w:rsidRPr="002B4430" w:rsidRDefault="00BD0EF3">
                      <w:pPr>
                        <w:pStyle w:val="TableParagraph"/>
                        <w:kinsoku w:val="0"/>
                        <w:overflowPunct w:val="0"/>
                        <w:spacing w:before="18"/>
                        <w:ind w:left="653"/>
                        <w:rPr>
                          <w:b/>
                          <w:bCs/>
                        </w:rPr>
                      </w:pPr>
                      <w:r w:rsidRPr="002B4430">
                        <w:rPr>
                          <w:b/>
                          <w:bCs/>
                        </w:rPr>
                        <w:t>Version 2.3</w:t>
                      </w:r>
                    </w:p>
                  </w:tc>
                </w:tr>
              </w:tbl>
              <w:p w:rsidR="00A87ECE" w:rsidRDefault="00A87ECE">
                <w:pPr>
                  <w:pStyle w:val="BodyText"/>
                  <w:kinsoku w:val="0"/>
                  <w:overflowPunct w:val="0"/>
                  <w:rPr>
                    <w:rFonts w:ascii="Times New Roman" w:hAnsi="Times New Roman" w:cs="Times New Roman"/>
                  </w:rPr>
                </w:pPr>
              </w:p>
            </w:txbxContent>
          </v:textbox>
          <w10:wrap anchorx="page" anchory="page"/>
        </v:shape>
      </w:pict>
    </w:r>
    <w:r>
      <w:rPr>
        <w:noProof/>
      </w:rPr>
      <w:pict>
        <v:rect id="_x0000_s2050" style="position:absolute;margin-left:47.2pt;margin-top:51.95pt;width:82pt;height:100pt;z-index:-1;mso-position-horizontal-relative:page;mso-position-vertical-relative:page" o:allowincell="f" filled="f" stroked="f">
          <v:textbox inset="0,0,0,0">
            <w:txbxContent>
              <w:p w:rsidR="00A87ECE" w:rsidRDefault="002B4430">
                <w:pPr>
                  <w:widowControl/>
                  <w:autoSpaceDE/>
                  <w:autoSpaceDN/>
                  <w:adjustRightInd/>
                  <w:spacing w:line="200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100pt">
                      <v:imagedata r:id="rId1" o:title=""/>
                    </v:shape>
                  </w:pict>
                </w:r>
              </w:p>
              <w:p w:rsidR="00A87ECE" w:rsidRDefault="00A87ECE">
                <w:pPr>
                  <w:rPr>
                    <w:rFonts w:ascii="Times New Roman" w:hAnsi="Times New Roman" w:cs="Times New Roman"/>
                    <w:sz w:val="24"/>
                    <w:szCs w:val="24"/>
                  </w:rPr>
                </w:pP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EF3"/>
    <w:rsid w:val="0005445D"/>
    <w:rsid w:val="001D6A0B"/>
    <w:rsid w:val="002B4430"/>
    <w:rsid w:val="008A07DF"/>
    <w:rsid w:val="00A87ECE"/>
    <w:rsid w:val="00BD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F3B3EC33-062F-4734-ACFA-F3674D30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BD0EF3"/>
    <w:pPr>
      <w:tabs>
        <w:tab w:val="center" w:pos="4680"/>
        <w:tab w:val="right" w:pos="9360"/>
      </w:tabs>
    </w:pPr>
  </w:style>
  <w:style w:type="character" w:customStyle="1" w:styleId="HeaderChar">
    <w:name w:val="Header Char"/>
    <w:link w:val="Header"/>
    <w:uiPriority w:val="99"/>
    <w:rsid w:val="00BD0EF3"/>
    <w:rPr>
      <w:rFonts w:ascii="Arial" w:hAnsi="Arial" w:cs="Arial"/>
    </w:rPr>
  </w:style>
  <w:style w:type="paragraph" w:styleId="Footer">
    <w:name w:val="footer"/>
    <w:basedOn w:val="Normal"/>
    <w:link w:val="FooterChar"/>
    <w:uiPriority w:val="99"/>
    <w:unhideWhenUsed/>
    <w:rsid w:val="00BD0EF3"/>
    <w:pPr>
      <w:tabs>
        <w:tab w:val="center" w:pos="4680"/>
        <w:tab w:val="right" w:pos="9360"/>
      </w:tabs>
    </w:pPr>
  </w:style>
  <w:style w:type="character" w:customStyle="1" w:styleId="FooterChar">
    <w:name w:val="Footer Char"/>
    <w:link w:val="Footer"/>
    <w:uiPriority w:val="99"/>
    <w:rsid w:val="00BD0EF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D_managed_care_quality@hhsc.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871</Words>
  <Characters>4913</Characters>
  <Application>Microsoft Office Word</Application>
  <DocSecurity>0</DocSecurity>
  <Lines>144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c:creator>
  <cp:keywords/>
  <dc:description/>
  <cp:lastModifiedBy>Dennis,Julie (HHSC)</cp:lastModifiedBy>
  <cp:revision>5</cp:revision>
  <dcterms:created xsi:type="dcterms:W3CDTF">2021-04-01T18:31:00Z</dcterms:created>
  <dcterms:modified xsi:type="dcterms:W3CDTF">2021-04-01T18:50:00Z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