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7BC3C" w14:textId="74C64EB4" w:rsidR="00CB5186" w:rsidRDefault="00CB5186" w:rsidP="00EB2090">
      <w:pPr>
        <w:spacing w:after="100" w:afterAutospacing="1" w:line="240" w:lineRule="auto"/>
        <w:outlineLvl w:val="1"/>
        <w:rPr>
          <w:ins w:id="0" w:author="Author"/>
          <w:rFonts w:ascii="inherit" w:eastAsia="Times New Roman" w:hAnsi="inherit" w:cs="Segoe UI"/>
          <w:b/>
          <w:bCs/>
          <w:color w:val="auto"/>
          <w:sz w:val="36"/>
          <w:szCs w:val="36"/>
        </w:rPr>
      </w:pPr>
      <w:bookmarkStart w:id="1" w:name="7110"/>
      <w:bookmarkEnd w:id="1"/>
      <w:ins w:id="2" w:author="Author">
        <w:r>
          <w:rPr>
            <w:rFonts w:ascii="inherit" w:eastAsia="Times New Roman" w:hAnsi="inherit" w:cs="Segoe UI"/>
            <w:b/>
            <w:bCs/>
            <w:color w:val="auto"/>
            <w:sz w:val="36"/>
            <w:szCs w:val="36"/>
          </w:rPr>
          <w:t>Section 7000, STAR+PLUS HCBS Program and Services</w:t>
        </w:r>
      </w:ins>
    </w:p>
    <w:p w14:paraId="76C6421A" w14:textId="77194838" w:rsidR="00CB5186" w:rsidRPr="00CB5186" w:rsidRDefault="00CB5186" w:rsidP="00EB2090">
      <w:pPr>
        <w:spacing w:after="100" w:afterAutospacing="1" w:line="240" w:lineRule="auto"/>
        <w:outlineLvl w:val="1"/>
        <w:rPr>
          <w:ins w:id="3" w:author="Author"/>
          <w:rFonts w:ascii="Segoe UI" w:hAnsi="Segoe UI" w:cs="Segoe UI"/>
          <w:strike/>
          <w:rPrChange w:id="4" w:author="Author">
            <w:rPr>
              <w:ins w:id="5" w:author="Author"/>
              <w:rFonts w:ascii="Segoe UI" w:hAnsi="Segoe UI" w:cs="Segoe UI"/>
            </w:rPr>
          </w:rPrChange>
        </w:rPr>
      </w:pPr>
      <w:ins w:id="6" w:author="Author">
        <w:r>
          <w:rPr>
            <w:rFonts w:ascii="Segoe UI" w:hAnsi="Segoe UI" w:cs="Segoe UI"/>
          </w:rPr>
          <w:t xml:space="preserve">Revision </w:t>
        </w:r>
        <w:r w:rsidRPr="00CB5186">
          <w:rPr>
            <w:rFonts w:ascii="Segoe UI" w:hAnsi="Segoe UI" w:cs="Segoe UI"/>
            <w:strike/>
            <w:rPrChange w:id="7" w:author="Author">
              <w:rPr>
                <w:rFonts w:ascii="Segoe UI" w:hAnsi="Segoe UI" w:cs="Segoe UI"/>
              </w:rPr>
            </w:rPrChange>
          </w:rPr>
          <w:t>19</w:t>
        </w:r>
        <w:r>
          <w:rPr>
            <w:rFonts w:ascii="Segoe UI" w:hAnsi="Segoe UI" w:cs="Segoe UI"/>
          </w:rPr>
          <w:t>20</w:t>
        </w:r>
        <w:r>
          <w:rPr>
            <w:rFonts w:ascii="Segoe UI" w:hAnsi="Segoe UI" w:cs="Segoe UI"/>
          </w:rPr>
          <w:t xml:space="preserve">-1; Effective </w:t>
        </w:r>
        <w:r>
          <w:rPr>
            <w:rFonts w:ascii="Segoe UI" w:hAnsi="Segoe UI" w:cs="Segoe UI"/>
          </w:rPr>
          <w:t xml:space="preserve">March 16, 2020 </w:t>
        </w:r>
        <w:bookmarkStart w:id="8" w:name="_GoBack"/>
        <w:r w:rsidRPr="00CB5186">
          <w:rPr>
            <w:rFonts w:ascii="Segoe UI" w:hAnsi="Segoe UI" w:cs="Segoe UI"/>
            <w:strike/>
            <w:rPrChange w:id="9" w:author="Author">
              <w:rPr>
                <w:rFonts w:ascii="Segoe UI" w:hAnsi="Segoe UI" w:cs="Segoe UI"/>
              </w:rPr>
            </w:rPrChange>
          </w:rPr>
          <w:t>June 3, 2019</w:t>
        </w:r>
      </w:ins>
    </w:p>
    <w:bookmarkEnd w:id="8"/>
    <w:p w14:paraId="6DB12CC0" w14:textId="77777777" w:rsidR="00CB5186" w:rsidRDefault="00CB5186" w:rsidP="00EB2090">
      <w:pPr>
        <w:spacing w:after="100" w:afterAutospacing="1" w:line="240" w:lineRule="auto"/>
        <w:outlineLvl w:val="1"/>
        <w:rPr>
          <w:ins w:id="10" w:author="Author"/>
          <w:rFonts w:ascii="inherit" w:eastAsia="Times New Roman" w:hAnsi="inherit" w:cs="Segoe UI"/>
          <w:b/>
          <w:bCs/>
          <w:color w:val="auto"/>
          <w:sz w:val="36"/>
          <w:szCs w:val="36"/>
        </w:rPr>
      </w:pPr>
    </w:p>
    <w:p w14:paraId="76031A36" w14:textId="34A262DE" w:rsidR="00EB2090" w:rsidRPr="00EB2090" w:rsidRDefault="00EB2090" w:rsidP="00EB2090">
      <w:pPr>
        <w:spacing w:after="100" w:afterAutospacing="1" w:line="240" w:lineRule="auto"/>
        <w:outlineLvl w:val="1"/>
        <w:rPr>
          <w:rFonts w:ascii="inherit" w:eastAsia="Times New Roman" w:hAnsi="inherit" w:cs="Segoe UI"/>
          <w:b/>
          <w:bCs/>
          <w:color w:val="auto"/>
          <w:sz w:val="36"/>
          <w:szCs w:val="36"/>
        </w:rPr>
      </w:pPr>
      <w:r w:rsidRPr="00EB2090">
        <w:rPr>
          <w:rFonts w:ascii="inherit" w:eastAsia="Times New Roman" w:hAnsi="inherit" w:cs="Segoe UI"/>
          <w:b/>
          <w:bCs/>
          <w:color w:val="auto"/>
          <w:sz w:val="36"/>
          <w:szCs w:val="36"/>
        </w:rPr>
        <w:t>7110 Introduction</w:t>
      </w:r>
    </w:p>
    <w:p w14:paraId="70119308" w14:textId="227CC9D1" w:rsidR="00EB2090" w:rsidRPr="00EB2090" w:rsidRDefault="00EB2090" w:rsidP="00EB2090">
      <w:pPr>
        <w:spacing w:after="100" w:afterAutospacing="1" w:line="240" w:lineRule="auto"/>
        <w:rPr>
          <w:rFonts w:ascii="Segoe UI" w:eastAsia="Times New Roman" w:hAnsi="Segoe UI" w:cs="Segoe UI"/>
          <w:color w:val="auto"/>
          <w:sz w:val="24"/>
          <w:szCs w:val="24"/>
        </w:rPr>
      </w:pPr>
      <w:r w:rsidRPr="00EB2090">
        <w:rPr>
          <w:rFonts w:ascii="Segoe UI" w:eastAsia="Times New Roman" w:hAnsi="Segoe UI" w:cs="Segoe UI"/>
          <w:color w:val="auto"/>
          <w:sz w:val="24"/>
          <w:szCs w:val="24"/>
        </w:rPr>
        <w:t>Revision</w:t>
      </w:r>
      <w:ins w:id="11" w:author="Author">
        <w:r w:rsidR="00933358">
          <w:rPr>
            <w:rFonts w:ascii="Segoe UI" w:eastAsia="Times New Roman" w:hAnsi="Segoe UI" w:cs="Segoe UI"/>
            <w:color w:val="auto"/>
            <w:sz w:val="24"/>
            <w:szCs w:val="24"/>
          </w:rPr>
          <w:t xml:space="preserve"> </w:t>
        </w:r>
      </w:ins>
      <w:del w:id="12" w:author="Author">
        <w:r w:rsidRPr="00EB2090" w:rsidDel="00E518CD">
          <w:rPr>
            <w:rFonts w:ascii="Segoe UI" w:eastAsia="Times New Roman" w:hAnsi="Segoe UI" w:cs="Segoe UI"/>
            <w:color w:val="auto"/>
            <w:sz w:val="24"/>
            <w:szCs w:val="24"/>
          </w:rPr>
          <w:delText xml:space="preserve"> </w:delText>
        </w:r>
      </w:del>
      <w:ins w:id="13" w:author="Author">
        <w:r w:rsidR="00E518CD">
          <w:rPr>
            <w:rFonts w:ascii="Segoe UI" w:eastAsia="Times New Roman" w:hAnsi="Segoe UI" w:cs="Segoe UI"/>
            <w:color w:val="auto"/>
            <w:sz w:val="24"/>
            <w:szCs w:val="24"/>
          </w:rPr>
          <w:t>20-1</w:t>
        </w:r>
      </w:ins>
      <w:del w:id="14" w:author="Author">
        <w:r w:rsidRPr="00EB2090" w:rsidDel="00E518CD">
          <w:rPr>
            <w:rFonts w:ascii="Segoe UI" w:eastAsia="Times New Roman" w:hAnsi="Segoe UI" w:cs="Segoe UI"/>
            <w:color w:val="auto"/>
            <w:sz w:val="24"/>
            <w:szCs w:val="24"/>
          </w:rPr>
          <w:delText>19-1</w:delText>
        </w:r>
      </w:del>
      <w:r w:rsidRPr="00EB2090">
        <w:rPr>
          <w:rFonts w:ascii="Segoe UI" w:eastAsia="Times New Roman" w:hAnsi="Segoe UI" w:cs="Segoe UI"/>
          <w:color w:val="auto"/>
          <w:sz w:val="24"/>
          <w:szCs w:val="24"/>
        </w:rPr>
        <w:t xml:space="preserve">; Effective </w:t>
      </w:r>
      <w:ins w:id="15" w:author="Author">
        <w:r w:rsidR="00E518CD">
          <w:rPr>
            <w:rFonts w:ascii="Segoe UI" w:eastAsia="Times New Roman" w:hAnsi="Segoe UI" w:cs="Segoe UI"/>
            <w:color w:val="auto"/>
            <w:sz w:val="24"/>
            <w:szCs w:val="24"/>
          </w:rPr>
          <w:t>March</w:t>
        </w:r>
        <w:r w:rsidR="009D625E">
          <w:rPr>
            <w:rFonts w:ascii="Segoe UI" w:eastAsia="Times New Roman" w:hAnsi="Segoe UI" w:cs="Segoe UI"/>
            <w:color w:val="auto"/>
            <w:sz w:val="24"/>
            <w:szCs w:val="24"/>
          </w:rPr>
          <w:t xml:space="preserve"> 16,</w:t>
        </w:r>
        <w:r w:rsidR="00E518CD">
          <w:rPr>
            <w:rFonts w:ascii="Segoe UI" w:eastAsia="Times New Roman" w:hAnsi="Segoe UI" w:cs="Segoe UI"/>
            <w:color w:val="auto"/>
            <w:sz w:val="24"/>
            <w:szCs w:val="24"/>
          </w:rPr>
          <w:t xml:space="preserve"> 2020</w:t>
        </w:r>
      </w:ins>
      <w:del w:id="16" w:author="Author">
        <w:r w:rsidRPr="00EB2090" w:rsidDel="00E518CD">
          <w:rPr>
            <w:rFonts w:ascii="Segoe UI" w:eastAsia="Times New Roman" w:hAnsi="Segoe UI" w:cs="Segoe UI"/>
            <w:color w:val="auto"/>
            <w:sz w:val="24"/>
            <w:szCs w:val="24"/>
          </w:rPr>
          <w:delText>June 3, 2019</w:delText>
        </w:r>
      </w:del>
    </w:p>
    <w:p w14:paraId="6D429F34" w14:textId="77777777" w:rsidR="00EB2090" w:rsidRPr="00EB2090" w:rsidRDefault="00EB2090" w:rsidP="00EB2090">
      <w:pPr>
        <w:spacing w:after="100" w:afterAutospacing="1" w:line="240" w:lineRule="auto"/>
        <w:rPr>
          <w:rFonts w:ascii="Segoe UI" w:eastAsia="Times New Roman" w:hAnsi="Segoe UI" w:cs="Segoe UI"/>
          <w:color w:val="auto"/>
          <w:sz w:val="24"/>
          <w:szCs w:val="24"/>
        </w:rPr>
      </w:pPr>
      <w:r w:rsidRPr="00EB2090">
        <w:rPr>
          <w:rFonts w:ascii="Segoe UI" w:eastAsia="Times New Roman" w:hAnsi="Segoe UI" w:cs="Segoe UI"/>
          <w:color w:val="auto"/>
          <w:sz w:val="24"/>
          <w:szCs w:val="24"/>
        </w:rPr>
        <w:t> </w:t>
      </w:r>
    </w:p>
    <w:p w14:paraId="2FE26D20" w14:textId="77777777" w:rsidR="00EB2090" w:rsidRPr="00EB2090" w:rsidRDefault="00EB2090" w:rsidP="00EB2090">
      <w:pPr>
        <w:spacing w:after="100" w:afterAutospacing="1" w:line="240" w:lineRule="auto"/>
        <w:rPr>
          <w:rFonts w:ascii="Segoe UI" w:eastAsia="Times New Roman" w:hAnsi="Segoe UI" w:cs="Segoe UI"/>
          <w:color w:val="auto"/>
          <w:sz w:val="24"/>
          <w:szCs w:val="24"/>
        </w:rPr>
      </w:pPr>
      <w:r w:rsidRPr="00EB2090">
        <w:rPr>
          <w:rFonts w:ascii="Segoe UI" w:eastAsia="Times New Roman" w:hAnsi="Segoe UI" w:cs="Segoe UI"/>
          <w:color w:val="auto"/>
          <w:sz w:val="24"/>
          <w:szCs w:val="24"/>
        </w:rPr>
        <w:t xml:space="preserve">Adult foster care (AFC) provides 24-hour living arrangements and personal care services and supports for persons who, because of physical or behavioral conditions, are unable to live independently. Services and supports may include assistance and/or supervision with daily living, including meal preparation, housekeeping, companion services, personal care, nursing tasks and provision of, or arrangement for, transportation. The STAR+PLUS Home and Community Based Services (HCBS) applicant or member who chooses AFC must reside with a contracted STAR+PLUS HCBS program AFC home provider that meets the minimum standards and licensure requirements found in </w:t>
      </w:r>
      <w:hyperlink r:id="rId5" w:tooltip="Appendix XXIV, Minimum Standards for STAR+PLUS AFC Homes and Home Providers" w:history="1">
        <w:r w:rsidRPr="00EB2090">
          <w:rPr>
            <w:rFonts w:ascii="Segoe UI" w:eastAsia="Times New Roman" w:hAnsi="Segoe UI" w:cs="Segoe UI"/>
            <w:color w:val="0965D5"/>
            <w:sz w:val="24"/>
            <w:szCs w:val="24"/>
          </w:rPr>
          <w:t>Appendix XXIV</w:t>
        </w:r>
      </w:hyperlink>
      <w:r w:rsidRPr="00EB2090">
        <w:rPr>
          <w:rFonts w:ascii="Segoe UI" w:eastAsia="Times New Roman" w:hAnsi="Segoe UI" w:cs="Segoe UI"/>
          <w:color w:val="auto"/>
          <w:sz w:val="24"/>
          <w:szCs w:val="24"/>
        </w:rPr>
        <w:t>, Minimum Standards for STAR+PLUS AFC Homes and Home Providers.</w:t>
      </w:r>
    </w:p>
    <w:p w14:paraId="1C81395F" w14:textId="443FD11E" w:rsidR="00EB2090" w:rsidRPr="00EB2090" w:rsidRDefault="00EB2090" w:rsidP="00EB2090">
      <w:pPr>
        <w:spacing w:after="100" w:afterAutospacing="1" w:line="240" w:lineRule="auto"/>
        <w:rPr>
          <w:rFonts w:ascii="Segoe UI" w:eastAsia="Times New Roman" w:hAnsi="Segoe UI" w:cs="Segoe UI"/>
          <w:color w:val="auto"/>
          <w:sz w:val="24"/>
          <w:szCs w:val="24"/>
        </w:rPr>
      </w:pPr>
      <w:r w:rsidRPr="00EB2090">
        <w:rPr>
          <w:rFonts w:ascii="Segoe UI" w:eastAsia="Times New Roman" w:hAnsi="Segoe UI" w:cs="Segoe UI"/>
          <w:color w:val="auto"/>
          <w:sz w:val="24"/>
          <w:szCs w:val="24"/>
        </w:rPr>
        <w:t xml:space="preserve">AFC home providers must be contracted either directly with the member’s managed care organization (MCO) or with an AFC provider agency contracted with the member’s MCO. The individual qualified to provide AFC (AFC home provider) must be the primary caregiver. AFC home providers must live in the household and share a common living area with the member. Detached living quarters do not constitute a common living area. AFC home providers may serve up to three adult residents in a qualified AFC home without being licensed as a personal care home or assisted living facility (ALF), and may be the AFC home provider’s home or the STAR+PLUS HCBS program applicant’s or member’s home. AFC home providers with four or more residents, which are also contracted with the Texas Health and Human Services Commission (HHSC), are required to have a Type C Personal Care Home license. AFC homes with four to eight AFC residents must be licensed as an ALF, with limitations on the number of residents at each level who may reside in the home. The three levels of eligibility for AFC are explained in </w:t>
      </w:r>
      <w:hyperlink r:id="rId6" w:anchor="7133" w:tooltip="Section 7133, Classification Levels of Adult Foster Care Members" w:history="1">
        <w:r w:rsidRPr="00EB2090">
          <w:rPr>
            <w:rFonts w:ascii="Segoe UI" w:eastAsia="Times New Roman" w:hAnsi="Segoe UI" w:cs="Segoe UI"/>
            <w:color w:val="0965D5"/>
            <w:sz w:val="24"/>
            <w:szCs w:val="24"/>
          </w:rPr>
          <w:t>Section 7133</w:t>
        </w:r>
      </w:hyperlink>
      <w:r w:rsidRPr="00EB2090">
        <w:rPr>
          <w:rFonts w:ascii="Segoe UI" w:eastAsia="Times New Roman" w:hAnsi="Segoe UI" w:cs="Segoe UI"/>
          <w:color w:val="auto"/>
          <w:sz w:val="24"/>
          <w:szCs w:val="24"/>
        </w:rPr>
        <w:t xml:space="preserve">, Classification Levels of Adult Foster Care Members. ALF licensure requirements are found in </w:t>
      </w:r>
      <w:commentRangeStart w:id="17"/>
      <w:r w:rsidRPr="00EB2090">
        <w:rPr>
          <w:rFonts w:ascii="Segoe UI" w:eastAsia="Times New Roman" w:hAnsi="Segoe UI" w:cs="Segoe UI"/>
          <w:color w:val="auto"/>
          <w:sz w:val="24"/>
          <w:szCs w:val="24"/>
        </w:rPr>
        <w:fldChar w:fldCharType="begin"/>
      </w:r>
      <w:r w:rsidRPr="00EB2090">
        <w:rPr>
          <w:rFonts w:ascii="Segoe UI" w:eastAsia="Times New Roman" w:hAnsi="Segoe UI" w:cs="Segoe UI"/>
          <w:color w:val="auto"/>
          <w:sz w:val="24"/>
          <w:szCs w:val="24"/>
        </w:rPr>
        <w:instrText xml:space="preserve"> HYPERLINK "https://texreg.sos.state.tx.us/public/readtac$ext.ViewTAC?tac_view=4&amp;ti=40&amp;pt=1&amp;ch=92" \t "_blank" </w:instrText>
      </w:r>
      <w:r w:rsidRPr="00EB2090">
        <w:rPr>
          <w:rFonts w:ascii="Segoe UI" w:eastAsia="Times New Roman" w:hAnsi="Segoe UI" w:cs="Segoe UI"/>
          <w:color w:val="auto"/>
          <w:sz w:val="24"/>
          <w:szCs w:val="24"/>
        </w:rPr>
        <w:fldChar w:fldCharType="separate"/>
      </w:r>
      <w:r w:rsidRPr="00EB2090">
        <w:rPr>
          <w:rFonts w:ascii="Segoe UI" w:eastAsia="Times New Roman" w:hAnsi="Segoe UI" w:cs="Segoe UI"/>
          <w:color w:val="0965D5"/>
          <w:sz w:val="24"/>
          <w:szCs w:val="24"/>
        </w:rPr>
        <w:t xml:space="preserve">Title </w:t>
      </w:r>
      <w:ins w:id="18" w:author="Author">
        <w:r w:rsidR="003C1B0F">
          <w:rPr>
            <w:rFonts w:ascii="Segoe UI" w:eastAsia="Times New Roman" w:hAnsi="Segoe UI" w:cs="Segoe UI"/>
            <w:color w:val="0965D5"/>
            <w:sz w:val="24"/>
            <w:szCs w:val="24"/>
          </w:rPr>
          <w:t>26</w:t>
        </w:r>
      </w:ins>
      <w:del w:id="19" w:author="Author">
        <w:r w:rsidRPr="00EB2090" w:rsidDel="003C1B0F">
          <w:rPr>
            <w:rFonts w:ascii="Segoe UI" w:eastAsia="Times New Roman" w:hAnsi="Segoe UI" w:cs="Segoe UI"/>
            <w:color w:val="0965D5"/>
            <w:sz w:val="24"/>
            <w:szCs w:val="24"/>
          </w:rPr>
          <w:delText>40</w:delText>
        </w:r>
      </w:del>
      <w:r w:rsidRPr="00EB2090">
        <w:rPr>
          <w:rFonts w:ascii="Segoe UI" w:eastAsia="Times New Roman" w:hAnsi="Segoe UI" w:cs="Segoe UI"/>
          <w:color w:val="0965D5"/>
          <w:sz w:val="24"/>
          <w:szCs w:val="24"/>
        </w:rPr>
        <w:t xml:space="preserve"> Texas Administrative Code (TAC), Chapter </w:t>
      </w:r>
      <w:ins w:id="20" w:author="Author">
        <w:r w:rsidR="003C1B0F">
          <w:rPr>
            <w:rFonts w:ascii="Segoe UI" w:eastAsia="Times New Roman" w:hAnsi="Segoe UI" w:cs="Segoe UI"/>
            <w:color w:val="0965D5"/>
            <w:sz w:val="24"/>
            <w:szCs w:val="24"/>
          </w:rPr>
          <w:t>553</w:t>
        </w:r>
      </w:ins>
      <w:del w:id="21" w:author="Author">
        <w:r w:rsidRPr="00EB2090" w:rsidDel="003C1B0F">
          <w:rPr>
            <w:rFonts w:ascii="Segoe UI" w:eastAsia="Times New Roman" w:hAnsi="Segoe UI" w:cs="Segoe UI"/>
            <w:color w:val="0965D5"/>
            <w:sz w:val="24"/>
            <w:szCs w:val="24"/>
          </w:rPr>
          <w:delText>92</w:delText>
        </w:r>
      </w:del>
      <w:r w:rsidRPr="00EB2090">
        <w:rPr>
          <w:rFonts w:ascii="Segoe UI" w:eastAsia="Times New Roman" w:hAnsi="Segoe UI" w:cs="Segoe UI"/>
          <w:color w:val="auto"/>
          <w:sz w:val="24"/>
          <w:szCs w:val="24"/>
        </w:rPr>
        <w:fldChar w:fldCharType="end"/>
      </w:r>
      <w:r w:rsidRPr="00EB2090">
        <w:rPr>
          <w:rFonts w:ascii="Segoe UI" w:eastAsia="Times New Roman" w:hAnsi="Segoe UI" w:cs="Segoe UI"/>
          <w:color w:val="auto"/>
          <w:sz w:val="24"/>
          <w:szCs w:val="24"/>
        </w:rPr>
        <w:t>.</w:t>
      </w:r>
      <w:commentRangeEnd w:id="17"/>
      <w:r w:rsidR="009D48B6">
        <w:rPr>
          <w:rStyle w:val="CommentReference"/>
        </w:rPr>
        <w:commentReference w:id="17"/>
      </w:r>
    </w:p>
    <w:p w14:paraId="2482B5B3" w14:textId="77777777" w:rsidR="00EB2090" w:rsidRPr="00EB2090" w:rsidRDefault="00EB2090" w:rsidP="00EB2090">
      <w:pPr>
        <w:spacing w:after="100" w:afterAutospacing="1" w:line="240" w:lineRule="auto"/>
        <w:rPr>
          <w:rFonts w:ascii="Segoe UI" w:eastAsia="Times New Roman" w:hAnsi="Segoe UI" w:cs="Segoe UI"/>
          <w:color w:val="auto"/>
          <w:sz w:val="24"/>
          <w:szCs w:val="24"/>
        </w:rPr>
      </w:pPr>
      <w:r w:rsidRPr="00EB2090">
        <w:rPr>
          <w:rFonts w:ascii="Segoe UI" w:eastAsia="Times New Roman" w:hAnsi="Segoe UI" w:cs="Segoe UI"/>
          <w:color w:val="auto"/>
          <w:sz w:val="24"/>
          <w:szCs w:val="24"/>
        </w:rPr>
        <w:lastRenderedPageBreak/>
        <w:t xml:space="preserve">Any reference to “resident” includes members receiving services in the STAR+PLUS HCBS program and AFC or private pay individuals. AFC home providers may serve a combination of STAR+PLUS HCBS program members and private pay individuals in a qualified or licensed AFC home </w:t>
      </w:r>
      <w:proofErr w:type="gramStart"/>
      <w:r w:rsidRPr="00EB2090">
        <w:rPr>
          <w:rFonts w:ascii="Segoe UI" w:eastAsia="Times New Roman" w:hAnsi="Segoe UI" w:cs="Segoe UI"/>
          <w:color w:val="auto"/>
          <w:sz w:val="24"/>
          <w:szCs w:val="24"/>
        </w:rPr>
        <w:t>as long as</w:t>
      </w:r>
      <w:proofErr w:type="gramEnd"/>
      <w:r w:rsidRPr="00EB2090">
        <w:rPr>
          <w:rFonts w:ascii="Segoe UI" w:eastAsia="Times New Roman" w:hAnsi="Segoe UI" w:cs="Segoe UI"/>
          <w:color w:val="auto"/>
          <w:sz w:val="24"/>
          <w:szCs w:val="24"/>
        </w:rPr>
        <w:t xml:space="preserve"> the AFC home provider continues to meet the minimum standards specified in Appendix XXIV, and additional other standards may be specified by the MCO.</w:t>
      </w:r>
    </w:p>
    <w:p w14:paraId="458152BE" w14:textId="77777777" w:rsidR="00EB2090" w:rsidRPr="00EB2090" w:rsidRDefault="00EB2090" w:rsidP="00EB2090">
      <w:pPr>
        <w:spacing w:after="100" w:afterAutospacing="1" w:line="240" w:lineRule="auto"/>
        <w:rPr>
          <w:rFonts w:ascii="Segoe UI" w:eastAsia="Times New Roman" w:hAnsi="Segoe UI" w:cs="Segoe UI"/>
          <w:color w:val="auto"/>
          <w:sz w:val="24"/>
          <w:szCs w:val="24"/>
        </w:rPr>
      </w:pPr>
      <w:r w:rsidRPr="00EB2090">
        <w:rPr>
          <w:rFonts w:ascii="Segoe UI" w:eastAsia="Times New Roman" w:hAnsi="Segoe UI" w:cs="Segoe UI"/>
          <w:color w:val="auto"/>
          <w:sz w:val="24"/>
          <w:szCs w:val="24"/>
        </w:rPr>
        <w:t xml:space="preserve">When the AFC home provider moves in with the STAR+PLUS HCBS program member receiving AFC in the member’s home, the AFC home enrollment requirements indicated with an asterisk in Appendix XXIV may be waived at the discretion of the MCO or the MCO-contracted AFC provider agency, as appropriate. Other minimum standards, excluding home safety requirements, may be waived at the discretion of the MCO, or upon the recommendation by the MCO-contracted AFC provider agency </w:t>
      </w:r>
      <w:proofErr w:type="gramStart"/>
      <w:r w:rsidRPr="00EB2090">
        <w:rPr>
          <w:rFonts w:ascii="Segoe UI" w:eastAsia="Times New Roman" w:hAnsi="Segoe UI" w:cs="Segoe UI"/>
          <w:color w:val="auto"/>
          <w:sz w:val="24"/>
          <w:szCs w:val="24"/>
        </w:rPr>
        <w:t>as long as</w:t>
      </w:r>
      <w:proofErr w:type="gramEnd"/>
      <w:r w:rsidRPr="00EB2090">
        <w:rPr>
          <w:rFonts w:ascii="Segoe UI" w:eastAsia="Times New Roman" w:hAnsi="Segoe UI" w:cs="Segoe UI"/>
          <w:color w:val="auto"/>
          <w:sz w:val="24"/>
          <w:szCs w:val="24"/>
        </w:rPr>
        <w:t xml:space="preserve"> the MCO-contracted AFC provider agency has completed a home assessment and concluded the member’s needs can be appropriately met through the STAR+PLUS HCBS program and AFC-specific services. Such conclusions must be documented by the MCO-contracted AFC provider agency and approved by the MCO.</w:t>
      </w:r>
    </w:p>
    <w:p w14:paraId="0D501E24" w14:textId="77777777" w:rsidR="00EB2090" w:rsidRPr="00EB2090" w:rsidRDefault="00EB2090" w:rsidP="00EB2090">
      <w:pPr>
        <w:spacing w:after="100" w:afterAutospacing="1" w:line="240" w:lineRule="auto"/>
        <w:rPr>
          <w:rFonts w:ascii="Segoe UI" w:eastAsia="Times New Roman" w:hAnsi="Segoe UI" w:cs="Segoe UI"/>
          <w:color w:val="auto"/>
          <w:sz w:val="24"/>
          <w:szCs w:val="24"/>
        </w:rPr>
      </w:pPr>
      <w:r w:rsidRPr="00EB2090">
        <w:rPr>
          <w:rFonts w:ascii="Segoe UI" w:eastAsia="Times New Roman" w:hAnsi="Segoe UI" w:cs="Segoe UI"/>
          <w:color w:val="auto"/>
          <w:sz w:val="24"/>
          <w:szCs w:val="24"/>
        </w:rPr>
        <w:t>The MCO is responsible for ensuring the AFC member receives all necessary AFC services, including the authorization of other needed services and nursing tasks.</w:t>
      </w:r>
    </w:p>
    <w:p w14:paraId="55A0F9C2" w14:textId="77777777" w:rsidR="00EB2090" w:rsidRPr="00EB2090" w:rsidRDefault="00EB2090" w:rsidP="00EB2090">
      <w:pPr>
        <w:spacing w:after="100" w:afterAutospacing="1" w:line="240" w:lineRule="auto"/>
        <w:rPr>
          <w:rFonts w:ascii="Segoe UI" w:eastAsia="Times New Roman" w:hAnsi="Segoe UI" w:cs="Segoe UI"/>
          <w:color w:val="auto"/>
          <w:sz w:val="24"/>
          <w:szCs w:val="24"/>
        </w:rPr>
      </w:pPr>
      <w:r w:rsidRPr="00EB2090">
        <w:rPr>
          <w:rFonts w:ascii="Segoe UI" w:eastAsia="Times New Roman" w:hAnsi="Segoe UI" w:cs="Segoe UI"/>
          <w:color w:val="auto"/>
          <w:sz w:val="24"/>
          <w:szCs w:val="24"/>
        </w:rPr>
        <w:t>STAR+PLUS HCBS program AFC members are required to pay for their own room and board costs and, if able, contribute to the cost of AFC services through a copayment to the AFC home provider. The only time room and board is not required is when the AFC home provider moves in with the member and the member's home becomes the AFC home. Room and board arrangements must be documented in the member’s case file by the MCO or by the MCO-contracted AFC provider agency.</w:t>
      </w:r>
    </w:p>
    <w:p w14:paraId="1B9A678A" w14:textId="77777777" w:rsidR="00EB2090" w:rsidRPr="00EB2090" w:rsidRDefault="00EB2090" w:rsidP="00EB2090">
      <w:pPr>
        <w:spacing w:after="100" w:afterAutospacing="1" w:line="240" w:lineRule="auto"/>
        <w:rPr>
          <w:rFonts w:ascii="Segoe UI" w:eastAsia="Times New Roman" w:hAnsi="Segoe UI" w:cs="Segoe UI"/>
          <w:color w:val="auto"/>
          <w:sz w:val="24"/>
          <w:szCs w:val="24"/>
        </w:rPr>
      </w:pPr>
      <w:r w:rsidRPr="00EB2090">
        <w:rPr>
          <w:rFonts w:ascii="Segoe UI" w:eastAsia="Times New Roman" w:hAnsi="Segoe UI" w:cs="Segoe UI"/>
          <w:color w:val="auto"/>
          <w:sz w:val="24"/>
          <w:szCs w:val="24"/>
        </w:rPr>
        <w:t>If an AFC home is contracted with HHSC to provide services to an applicant or member receiving AFC through HHSC, the MCO or the MCO-contracted provider agency may request a copy of the AFC home and AFC home provider qualification documents from HHSC, if applicable. These documents contain HHSC findings regarding the qualifications of the AFC home and AFC home provider.</w:t>
      </w:r>
    </w:p>
    <w:p w14:paraId="0D82C75E" w14:textId="77777777" w:rsidR="00D90962" w:rsidRPr="005F6B5F" w:rsidRDefault="00D90962" w:rsidP="00A85EF7">
      <w:pPr>
        <w:pStyle w:val="BodyText"/>
        <w:rPr>
          <w:sz w:val="24"/>
          <w:szCs w:val="24"/>
        </w:rPr>
      </w:pPr>
    </w:p>
    <w:sectPr w:rsidR="00D90962" w:rsidRPr="005F6B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Author" w:initials="A">
    <w:p w14:paraId="5DA16715" w14:textId="5A2C93F7" w:rsidR="009D48B6" w:rsidRDefault="009D48B6">
      <w:pPr>
        <w:pStyle w:val="CommentText"/>
      </w:pPr>
      <w:r>
        <w:rPr>
          <w:rStyle w:val="CommentReference"/>
        </w:rPr>
        <w:annotationRef/>
      </w:r>
      <w:r w:rsidR="0001199D">
        <w:t>Title 26 Texas Administrative Code (TAC), Chapter 553</w:t>
      </w:r>
      <w:r w:rsidR="00933358">
        <w:t xml:space="preserve"> new link</w:t>
      </w:r>
    </w:p>
    <w:p w14:paraId="13FC8884" w14:textId="77777777" w:rsidR="0001199D" w:rsidRDefault="0001199D">
      <w:pPr>
        <w:pStyle w:val="CommentText"/>
      </w:pPr>
    </w:p>
    <w:p w14:paraId="5A0DFB68" w14:textId="77777777" w:rsidR="0001199D" w:rsidRDefault="00CB5186">
      <w:pPr>
        <w:pStyle w:val="CommentText"/>
      </w:pPr>
      <w:hyperlink r:id="rId1" w:history="1">
        <w:r w:rsidR="0001199D" w:rsidRPr="00C9055F">
          <w:rPr>
            <w:rStyle w:val="Hyperlink"/>
          </w:rPr>
          <w:t>https://texreg.sos.state.tx.us/public/readtac$ext.ViewTAC?tac_view=4&amp;ti=26&amp;pt=1&amp;ch=553</w:t>
        </w:r>
      </w:hyperlink>
      <w:r w:rsidR="0001199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0DFB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DFB68" w16cid:durableId="21595B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90"/>
    <w:rsid w:val="0001199D"/>
    <w:rsid w:val="00015723"/>
    <w:rsid w:val="00051D10"/>
    <w:rsid w:val="00086875"/>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C1B0F"/>
    <w:rsid w:val="003F1869"/>
    <w:rsid w:val="00407BE6"/>
    <w:rsid w:val="00441269"/>
    <w:rsid w:val="004654AE"/>
    <w:rsid w:val="00467816"/>
    <w:rsid w:val="004A1A49"/>
    <w:rsid w:val="004B3E1A"/>
    <w:rsid w:val="004E024A"/>
    <w:rsid w:val="00526CA1"/>
    <w:rsid w:val="005B630F"/>
    <w:rsid w:val="005C4E39"/>
    <w:rsid w:val="005E65AD"/>
    <w:rsid w:val="005F6B5F"/>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33358"/>
    <w:rsid w:val="009408CB"/>
    <w:rsid w:val="00941260"/>
    <w:rsid w:val="00943571"/>
    <w:rsid w:val="0096540E"/>
    <w:rsid w:val="00973878"/>
    <w:rsid w:val="009D48B6"/>
    <w:rsid w:val="009D625E"/>
    <w:rsid w:val="00A25613"/>
    <w:rsid w:val="00A3795E"/>
    <w:rsid w:val="00A7390F"/>
    <w:rsid w:val="00A85EF7"/>
    <w:rsid w:val="00B01B26"/>
    <w:rsid w:val="00B63435"/>
    <w:rsid w:val="00B75990"/>
    <w:rsid w:val="00BA6C8F"/>
    <w:rsid w:val="00C57FEA"/>
    <w:rsid w:val="00C904C9"/>
    <w:rsid w:val="00CA6447"/>
    <w:rsid w:val="00CB5186"/>
    <w:rsid w:val="00D32752"/>
    <w:rsid w:val="00D40BBC"/>
    <w:rsid w:val="00D90962"/>
    <w:rsid w:val="00E06C3D"/>
    <w:rsid w:val="00E24DB5"/>
    <w:rsid w:val="00E303D0"/>
    <w:rsid w:val="00E518CD"/>
    <w:rsid w:val="00E93DAE"/>
    <w:rsid w:val="00EB2090"/>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D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0119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5882">
      <w:bodyDiv w:val="1"/>
      <w:marLeft w:val="0"/>
      <w:marRight w:val="0"/>
      <w:marTop w:val="0"/>
      <w:marBottom w:val="0"/>
      <w:divBdr>
        <w:top w:val="none" w:sz="0" w:space="0" w:color="auto"/>
        <w:left w:val="none" w:sz="0" w:space="0" w:color="auto"/>
        <w:bottom w:val="none" w:sz="0" w:space="0" w:color="auto"/>
        <w:right w:val="none" w:sz="0" w:space="0" w:color="auto"/>
      </w:divBdr>
      <w:divsChild>
        <w:div w:id="141891542">
          <w:marLeft w:val="0"/>
          <w:marRight w:val="0"/>
          <w:marTop w:val="0"/>
          <w:marBottom w:val="0"/>
          <w:divBdr>
            <w:top w:val="none" w:sz="0" w:space="0" w:color="auto"/>
            <w:left w:val="none" w:sz="0" w:space="0" w:color="auto"/>
            <w:bottom w:val="none" w:sz="0" w:space="0" w:color="auto"/>
            <w:right w:val="none" w:sz="0" w:space="0" w:color="auto"/>
          </w:divBdr>
          <w:divsChild>
            <w:div w:id="1091782448">
              <w:marLeft w:val="0"/>
              <w:marRight w:val="0"/>
              <w:marTop w:val="0"/>
              <w:marBottom w:val="0"/>
              <w:divBdr>
                <w:top w:val="none" w:sz="0" w:space="0" w:color="auto"/>
                <w:left w:val="none" w:sz="0" w:space="0" w:color="auto"/>
                <w:bottom w:val="none" w:sz="0" w:space="0" w:color="auto"/>
                <w:right w:val="none" w:sz="0" w:space="0" w:color="auto"/>
              </w:divBdr>
              <w:divsChild>
                <w:div w:id="1669089083">
                  <w:marLeft w:val="0"/>
                  <w:marRight w:val="0"/>
                  <w:marTop w:val="0"/>
                  <w:marBottom w:val="0"/>
                  <w:divBdr>
                    <w:top w:val="none" w:sz="0" w:space="0" w:color="auto"/>
                    <w:left w:val="none" w:sz="0" w:space="0" w:color="auto"/>
                    <w:bottom w:val="none" w:sz="0" w:space="0" w:color="auto"/>
                    <w:right w:val="none" w:sz="0" w:space="0" w:color="auto"/>
                  </w:divBdr>
                  <w:divsChild>
                    <w:div w:id="215162875">
                      <w:marLeft w:val="0"/>
                      <w:marRight w:val="0"/>
                      <w:marTop w:val="0"/>
                      <w:marBottom w:val="0"/>
                      <w:divBdr>
                        <w:top w:val="none" w:sz="0" w:space="0" w:color="auto"/>
                        <w:left w:val="none" w:sz="0" w:space="0" w:color="auto"/>
                        <w:bottom w:val="none" w:sz="0" w:space="0" w:color="auto"/>
                        <w:right w:val="none" w:sz="0" w:space="0" w:color="auto"/>
                      </w:divBdr>
                      <w:divsChild>
                        <w:div w:id="209420010">
                          <w:marLeft w:val="-225"/>
                          <w:marRight w:val="-225"/>
                          <w:marTop w:val="0"/>
                          <w:marBottom w:val="0"/>
                          <w:divBdr>
                            <w:top w:val="none" w:sz="0" w:space="0" w:color="auto"/>
                            <w:left w:val="none" w:sz="0" w:space="0" w:color="auto"/>
                            <w:bottom w:val="none" w:sz="0" w:space="0" w:color="auto"/>
                            <w:right w:val="none" w:sz="0" w:space="0" w:color="auto"/>
                          </w:divBdr>
                          <w:divsChild>
                            <w:div w:id="1969436202">
                              <w:marLeft w:val="0"/>
                              <w:marRight w:val="0"/>
                              <w:marTop w:val="0"/>
                              <w:marBottom w:val="0"/>
                              <w:divBdr>
                                <w:top w:val="none" w:sz="0" w:space="0" w:color="auto"/>
                                <w:left w:val="none" w:sz="0" w:space="0" w:color="auto"/>
                                <w:bottom w:val="none" w:sz="0" w:space="0" w:color="auto"/>
                                <w:right w:val="none" w:sz="0" w:space="0" w:color="auto"/>
                              </w:divBdr>
                              <w:divsChild>
                                <w:div w:id="2054576321">
                                  <w:marLeft w:val="0"/>
                                  <w:marRight w:val="0"/>
                                  <w:marTop w:val="0"/>
                                  <w:marBottom w:val="0"/>
                                  <w:divBdr>
                                    <w:top w:val="none" w:sz="0" w:space="0" w:color="auto"/>
                                    <w:left w:val="none" w:sz="0" w:space="0" w:color="auto"/>
                                    <w:bottom w:val="none" w:sz="0" w:space="0" w:color="auto"/>
                                    <w:right w:val="none" w:sz="0" w:space="0" w:color="auto"/>
                                  </w:divBdr>
                                  <w:divsChild>
                                    <w:div w:id="2029208093">
                                      <w:marLeft w:val="0"/>
                                      <w:marRight w:val="0"/>
                                      <w:marTop w:val="0"/>
                                      <w:marBottom w:val="0"/>
                                      <w:divBdr>
                                        <w:top w:val="none" w:sz="0" w:space="0" w:color="auto"/>
                                        <w:left w:val="none" w:sz="0" w:space="0" w:color="auto"/>
                                        <w:bottom w:val="none" w:sz="0" w:space="0" w:color="auto"/>
                                        <w:right w:val="none" w:sz="0" w:space="0" w:color="auto"/>
                                      </w:divBdr>
                                      <w:divsChild>
                                        <w:div w:id="662010641">
                                          <w:marLeft w:val="0"/>
                                          <w:marRight w:val="0"/>
                                          <w:marTop w:val="0"/>
                                          <w:marBottom w:val="0"/>
                                          <w:divBdr>
                                            <w:top w:val="none" w:sz="0" w:space="0" w:color="auto"/>
                                            <w:left w:val="none" w:sz="0" w:space="0" w:color="auto"/>
                                            <w:bottom w:val="none" w:sz="0" w:space="0" w:color="auto"/>
                                            <w:right w:val="none" w:sz="0" w:space="0" w:color="auto"/>
                                          </w:divBdr>
                                          <w:divsChild>
                                            <w:div w:id="1798451952">
                                              <w:marLeft w:val="0"/>
                                              <w:marRight w:val="0"/>
                                              <w:marTop w:val="0"/>
                                              <w:marBottom w:val="0"/>
                                              <w:divBdr>
                                                <w:top w:val="none" w:sz="0" w:space="0" w:color="auto"/>
                                                <w:left w:val="none" w:sz="0" w:space="0" w:color="auto"/>
                                                <w:bottom w:val="none" w:sz="0" w:space="0" w:color="auto"/>
                                                <w:right w:val="none" w:sz="0" w:space="0" w:color="auto"/>
                                              </w:divBdr>
                                              <w:divsChild>
                                                <w:div w:id="1450972521">
                                                  <w:marLeft w:val="0"/>
                                                  <w:marRight w:val="0"/>
                                                  <w:marTop w:val="0"/>
                                                  <w:marBottom w:val="0"/>
                                                  <w:divBdr>
                                                    <w:top w:val="none" w:sz="0" w:space="0" w:color="auto"/>
                                                    <w:left w:val="none" w:sz="0" w:space="0" w:color="auto"/>
                                                    <w:bottom w:val="none" w:sz="0" w:space="0" w:color="auto"/>
                                                    <w:right w:val="none" w:sz="0" w:space="0" w:color="auto"/>
                                                  </w:divBdr>
                                                  <w:divsChild>
                                                    <w:div w:id="1315790950">
                                                      <w:marLeft w:val="-225"/>
                                                      <w:marRight w:val="-225"/>
                                                      <w:marTop w:val="0"/>
                                                      <w:marBottom w:val="0"/>
                                                      <w:divBdr>
                                                        <w:top w:val="none" w:sz="0" w:space="0" w:color="auto"/>
                                                        <w:left w:val="none" w:sz="0" w:space="0" w:color="auto"/>
                                                        <w:bottom w:val="none" w:sz="0" w:space="0" w:color="auto"/>
                                                        <w:right w:val="none" w:sz="0" w:space="0" w:color="auto"/>
                                                      </w:divBdr>
                                                      <w:divsChild>
                                                        <w:div w:id="1374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exreg.sos.state.tx.us/public/readtac$ext.ViewTAC?tac_view=4&amp;ti=26&amp;pt=1&amp;ch=553"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hs.texas.gov/laws-regulations/handbooks/sph/section-7000-starplus-hcbs-program-services" TargetMode="External"/><Relationship Id="rId11" Type="http://schemas.openxmlformats.org/officeDocument/2006/relationships/theme" Target="theme/theme1.xml"/><Relationship Id="rId5" Type="http://schemas.openxmlformats.org/officeDocument/2006/relationships/hyperlink" Target="https://hhs.texas.gov/laws-regulations/handbooks/sph/appendices/appendix-xxiv-minimum-standards-starplus-afc-homes-home-provid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2019-12-17T14:50:00Z</dcterms:created>
  <dcterms:modified xsi:type="dcterms:W3CDTF">2019-12-17T14:52:00Z</dcterms:modified>
</cp:coreProperties>
</file>