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5D" w:rsidRPr="0014115D" w:rsidRDefault="00AB1020" w:rsidP="0014115D">
      <w:pPr>
        <w:rPr>
          <w:sz w:val="28"/>
          <w:szCs w:val="28"/>
        </w:rPr>
      </w:pPr>
      <w:r>
        <w:rPr>
          <w:sz w:val="28"/>
          <w:szCs w:val="28"/>
        </w:rPr>
        <w:t xml:space="preserve">SPH </w:t>
      </w:r>
      <w:r w:rsidR="00DA020F">
        <w:rPr>
          <w:sz w:val="28"/>
          <w:szCs w:val="28"/>
        </w:rPr>
        <w:t>20-1</w:t>
      </w:r>
      <w:r w:rsidR="0014115D" w:rsidRPr="0014115D">
        <w:rPr>
          <w:sz w:val="28"/>
          <w:szCs w:val="28"/>
        </w:rPr>
        <w:t>, Miscellaneous Changes</w:t>
      </w:r>
    </w:p>
    <w:p w:rsidR="0014115D" w:rsidRDefault="0014115D" w:rsidP="0014115D"/>
    <w:p w:rsidR="0014115D" w:rsidRPr="0014115D" w:rsidRDefault="0014115D" w:rsidP="0014115D">
      <w:pPr>
        <w:spacing w:after="100" w:afterAutospacing="1"/>
        <w:rPr>
          <w:rFonts w:ascii="Segoe UI" w:eastAsia="Times New Roman" w:hAnsi="Segoe UI" w:cs="Segoe UI"/>
          <w:sz w:val="24"/>
          <w:szCs w:val="24"/>
        </w:rPr>
      </w:pPr>
      <w:r w:rsidRPr="0014115D">
        <w:rPr>
          <w:rFonts w:ascii="Segoe UI" w:eastAsia="Times New Roman" w:hAnsi="Segoe UI" w:cs="Segoe UI"/>
          <w:sz w:val="24"/>
          <w:szCs w:val="24"/>
        </w:rPr>
        <w:t xml:space="preserve">Revision Notice </w:t>
      </w:r>
      <w:r w:rsidR="00DA020F">
        <w:rPr>
          <w:rFonts w:ascii="Segoe UI" w:eastAsia="Times New Roman" w:hAnsi="Segoe UI" w:cs="Segoe UI"/>
          <w:sz w:val="24"/>
          <w:szCs w:val="24"/>
        </w:rPr>
        <w:t>20-1</w:t>
      </w:r>
      <w:r w:rsidRPr="0014115D">
        <w:rPr>
          <w:rFonts w:ascii="Segoe UI" w:eastAsia="Times New Roman" w:hAnsi="Segoe UI" w:cs="Segoe UI"/>
          <w:sz w:val="24"/>
          <w:szCs w:val="24"/>
        </w:rPr>
        <w:t xml:space="preserve">; Effective </w:t>
      </w:r>
      <w:r w:rsidR="00DA020F">
        <w:rPr>
          <w:rFonts w:ascii="Segoe UI" w:eastAsia="Times New Roman" w:hAnsi="Segoe UI" w:cs="Segoe UI"/>
          <w:sz w:val="24"/>
          <w:szCs w:val="24"/>
        </w:rPr>
        <w:t>March 16, 2020</w:t>
      </w:r>
    </w:p>
    <w:p w:rsidR="0014115D" w:rsidRPr="0014115D" w:rsidRDefault="0014115D" w:rsidP="0014115D">
      <w:pPr>
        <w:spacing w:after="100" w:afterAutospacing="1"/>
        <w:rPr>
          <w:rFonts w:ascii="Segoe UI" w:eastAsia="Times New Roman" w:hAnsi="Segoe UI" w:cs="Segoe UI"/>
          <w:sz w:val="24"/>
          <w:szCs w:val="24"/>
        </w:rPr>
      </w:pPr>
      <w:r w:rsidRPr="0014115D">
        <w:rPr>
          <w:rFonts w:ascii="Segoe UI" w:eastAsia="Times New Roman" w:hAnsi="Segoe UI" w:cs="Segoe UI"/>
          <w:sz w:val="24"/>
          <w:szCs w:val="24"/>
        </w:rPr>
        <w:t> </w:t>
      </w:r>
    </w:p>
    <w:p w:rsidR="0014115D" w:rsidRPr="0014115D" w:rsidRDefault="0014115D" w:rsidP="0014115D">
      <w:pPr>
        <w:spacing w:after="100" w:afterAutospacing="1"/>
        <w:rPr>
          <w:rFonts w:ascii="Segoe UI" w:eastAsia="Times New Roman" w:hAnsi="Segoe UI" w:cs="Segoe UI"/>
          <w:sz w:val="24"/>
          <w:szCs w:val="24"/>
        </w:rPr>
      </w:pPr>
      <w:r w:rsidRPr="0014115D">
        <w:rPr>
          <w:rFonts w:ascii="Segoe UI" w:eastAsia="Times New Roman" w:hAnsi="Segoe UI" w:cs="Segoe UI"/>
          <w:sz w:val="24"/>
          <w:szCs w:val="24"/>
        </w:rPr>
        <w:t>The following change(s) were made: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3601"/>
        <w:gridCol w:w="4608"/>
      </w:tblGrid>
      <w:tr w:rsidR="00DA020F" w:rsidRPr="0014115D" w:rsidTr="00DA020F">
        <w:trPr>
          <w:tblHeader/>
        </w:trPr>
        <w:tc>
          <w:tcPr>
            <w:tcW w:w="746" w:type="pct"/>
            <w:shd w:val="clear" w:color="auto" w:fill="auto"/>
            <w:vAlign w:val="center"/>
            <w:hideMark/>
          </w:tcPr>
          <w:p w:rsidR="0014115D" w:rsidRPr="0014115D" w:rsidRDefault="0014115D" w:rsidP="0014115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4115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Revised</w:t>
            </w:r>
          </w:p>
        </w:tc>
        <w:tc>
          <w:tcPr>
            <w:tcW w:w="1866" w:type="pct"/>
            <w:shd w:val="clear" w:color="auto" w:fill="auto"/>
            <w:vAlign w:val="center"/>
            <w:hideMark/>
          </w:tcPr>
          <w:p w:rsidR="0014115D" w:rsidRPr="0014115D" w:rsidRDefault="0014115D" w:rsidP="0014115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4115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388" w:type="pct"/>
            <w:shd w:val="clear" w:color="auto" w:fill="auto"/>
            <w:vAlign w:val="center"/>
            <w:hideMark/>
          </w:tcPr>
          <w:p w:rsidR="0014115D" w:rsidRPr="0014115D" w:rsidRDefault="0014115D" w:rsidP="0014115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14115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Change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  <w:hideMark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3413</w:t>
            </w:r>
          </w:p>
        </w:tc>
        <w:tc>
          <w:tcPr>
            <w:tcW w:w="1866" w:type="pct"/>
            <w:shd w:val="clear" w:color="auto" w:fill="auto"/>
            <w:vAlign w:val="center"/>
            <w:hideMark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STAR+PLUS Home and Community Based Services Program Member Transferring from One MCO to Another Within the Same Service Area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Remov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es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language containing duplicate information, adds examples and deletes incorrect time frames.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  <w:hideMark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866" w:type="pct"/>
            <w:shd w:val="clear" w:color="auto" w:fill="auto"/>
            <w:vAlign w:val="center"/>
            <w:hideMark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Money Follows the Person Demonstration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Changes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the title of Section 3521 to Money Follows the Person Demonstration Introduction</w:t>
            </w:r>
            <w:r w:rsidR="009F4D7E">
              <w:rPr>
                <w:rFonts w:ascii="Segoe UI" w:eastAsia="Times New Roman" w:hAnsi="Segoe UI" w:cs="Segoe UI"/>
                <w:sz w:val="24"/>
                <w:szCs w:val="24"/>
              </w:rPr>
              <w:t xml:space="preserve"> and removes language indicating MFPD has ended. Adds Sections 3522, 3522.1, 3522.2, 3523, 3524 and 3525 that detail MFPD eligibility, enrollment and tracking.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DA020F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3611</w:t>
            </w:r>
            <w:r w:rsidR="009F4D7E"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9F4D7E" w:rsidP="00DA020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Immediate Suspension of Services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9F4D7E" w:rsidP="00DA020F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Removes “</w:t>
            </w:r>
            <w:r w:rsidR="00705A54">
              <w:rPr>
                <w:rFonts w:ascii="Segoe UI" w:eastAsia="Times New Roman" w:hAnsi="Segoe UI" w:cs="Segoe UI"/>
                <w:sz w:val="24"/>
                <w:szCs w:val="24"/>
              </w:rPr>
              <w:t xml:space="preserve">or 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sz w:val="24"/>
                <w:szCs w:val="24"/>
              </w:rPr>
              <w:t>Reduction” from the title and clarifies language.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3631.5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9F4D7E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Unable to Obtain Physician’s Signature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9F4D7E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Add</w:t>
            </w:r>
            <w:r w:rsidR="00DA020F">
              <w:rPr>
                <w:rFonts w:ascii="Segoe UI" w:eastAsia="Times New Roman" w:hAnsi="Segoe UI" w:cs="Segoe UI"/>
                <w:sz w:val="24"/>
                <w:szCs w:val="24"/>
              </w:rPr>
              <w:t xml:space="preserve">s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a new section and the procedure when unable to obtain the physician’s signature.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5220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9F4D7E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Money Follows the Person Demonstration Entitlement Tracking and Service Authorization System Online Data Entry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="009F4D7E">
              <w:rPr>
                <w:rFonts w:ascii="Segoe UI" w:eastAsia="Times New Roman" w:hAnsi="Segoe UI" w:cs="Segoe UI"/>
                <w:sz w:val="24"/>
                <w:szCs w:val="24"/>
              </w:rPr>
              <w:t>larifies language and adds four examples.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6230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9F4D7E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Nursing Services in Assisted Living Facilities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="009F4D7E">
              <w:rPr>
                <w:rFonts w:ascii="Segoe UI" w:eastAsia="Times New Roman" w:hAnsi="Segoe UI" w:cs="Segoe UI"/>
                <w:sz w:val="24"/>
                <w:szCs w:val="24"/>
              </w:rPr>
              <w:t xml:space="preserve">orrects a reference and link to Texas Administrative Code (TAC) Title 26, </w:t>
            </w:r>
            <w:r w:rsidR="009F4D7E" w:rsidRPr="00C3727A">
              <w:rPr>
                <w:rFonts w:ascii="Segoe UI" w:eastAsia="Times New Roman" w:hAnsi="Segoe UI" w:cs="Segoe UI"/>
                <w:sz w:val="24"/>
                <w:szCs w:val="24"/>
              </w:rPr>
              <w:t>§</w:t>
            </w:r>
            <w:r w:rsidR="009F4D7E">
              <w:rPr>
                <w:rFonts w:ascii="Segoe UI" w:eastAsia="Times New Roman" w:hAnsi="Segoe UI" w:cs="Segoe UI"/>
                <w:sz w:val="24"/>
                <w:szCs w:val="24"/>
              </w:rPr>
              <w:t>553</w:t>
            </w:r>
            <w:r w:rsidR="009F4D7E" w:rsidRPr="00C3727A">
              <w:rPr>
                <w:rFonts w:ascii="Segoe UI" w:eastAsia="Times New Roman" w:hAnsi="Segoe UI" w:cs="Segoe UI"/>
                <w:sz w:val="24"/>
                <w:szCs w:val="24"/>
              </w:rPr>
              <w:t>.41</w:t>
            </w:r>
            <w:r w:rsidR="009F4D7E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6530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Time Frames for Initiation of Dental Services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="00685764">
              <w:rPr>
                <w:rFonts w:ascii="Segoe UI" w:eastAsia="Times New Roman" w:hAnsi="Segoe UI" w:cs="Segoe UI"/>
                <w:sz w:val="24"/>
                <w:szCs w:val="24"/>
              </w:rPr>
              <w:t>larifies language.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7110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Introduction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Corrects a reference and link to TAC Title 26,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Chapter 553.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7121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AFC Homes with Four or More Residents and Members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Corrects a reference and link to TAC Title 26, Chapter 553.</w:t>
            </w:r>
            <w:r w:rsidR="00DA020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lastRenderedPageBreak/>
              <w:t>8</w:t>
            </w: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Service Delivery Options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685764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Renumbers sections and revise</w:t>
            </w:r>
            <w:r w:rsidR="00DA020F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all sections</w:t>
            </w:r>
            <w:r w:rsidR="00DA020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to clarify language.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10150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CC7566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Authorization for Day Activity and Health Services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="00CC7566">
              <w:rPr>
                <w:rFonts w:ascii="Segoe UI" w:eastAsia="Times New Roman" w:hAnsi="Segoe UI" w:cs="Segoe UI"/>
                <w:sz w:val="24"/>
                <w:szCs w:val="24"/>
              </w:rPr>
              <w:t>larifies language.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10160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Default="00CC7566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Reauthorization of Day Activity and Health Services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Default="00DA020F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Ch</w:t>
            </w:r>
            <w:r w:rsidR="00CC7566">
              <w:rPr>
                <w:rFonts w:ascii="Segoe UI" w:eastAsia="Times New Roman" w:hAnsi="Segoe UI" w:cs="Segoe UI"/>
                <w:sz w:val="24"/>
                <w:szCs w:val="24"/>
              </w:rPr>
              <w:t>anges the title and adds language.</w:t>
            </w:r>
          </w:p>
        </w:tc>
      </w:tr>
      <w:tr w:rsidR="00DA020F" w:rsidRPr="0014115D" w:rsidTr="00DA020F">
        <w:tc>
          <w:tcPr>
            <w:tcW w:w="746" w:type="pct"/>
            <w:shd w:val="clear" w:color="auto" w:fill="auto"/>
            <w:vAlign w:val="center"/>
          </w:tcPr>
          <w:p w:rsidR="00DA020F" w:rsidRPr="00705A54" w:rsidRDefault="00DA020F" w:rsidP="008C7456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</w:pPr>
            <w:r w:rsidRPr="00705A54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DA020F" w:rsidRPr="0014115D" w:rsidRDefault="00CC7566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Nursing Facility Services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DA020F" w:rsidRPr="0014115D" w:rsidRDefault="00CC7566" w:rsidP="008C7456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Adds Section 11100, CPWC Benefit for NF Residents Enrolled in STAR+PLUS or a Medicare-Medicaid Plan, regarding custom power wheelchairs.</w:t>
            </w:r>
            <w:r w:rsidR="00DA020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</w:tbl>
    <w:p w:rsidR="0014115D" w:rsidRPr="0014115D" w:rsidRDefault="0014115D" w:rsidP="00DA020F"/>
    <w:sectPr w:rsidR="0014115D" w:rsidRPr="0014115D" w:rsidSect="009739D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2FCF"/>
    <w:multiLevelType w:val="multilevel"/>
    <w:tmpl w:val="8CC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5D"/>
    <w:rsid w:val="0014115D"/>
    <w:rsid w:val="00334385"/>
    <w:rsid w:val="005D548A"/>
    <w:rsid w:val="00685764"/>
    <w:rsid w:val="00705A54"/>
    <w:rsid w:val="009739D6"/>
    <w:rsid w:val="009F4D7E"/>
    <w:rsid w:val="00AA783C"/>
    <w:rsid w:val="00AA7E50"/>
    <w:rsid w:val="00AB1020"/>
    <w:rsid w:val="00AB34B5"/>
    <w:rsid w:val="00C0159B"/>
    <w:rsid w:val="00C95F51"/>
    <w:rsid w:val="00CC7566"/>
    <w:rsid w:val="00DA020F"/>
    <w:rsid w:val="00E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659F"/>
  <w15:chartTrackingRefBased/>
  <w15:docId w15:val="{53B3BA93-F0AC-4956-BB6F-56B8235F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15D"/>
    <w:rPr>
      <w:strike w:val="0"/>
      <w:dstrike w:val="0"/>
      <w:color w:val="0965D5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115D"/>
    <w:pPr>
      <w:spacing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9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307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0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278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Lee,Jacqueline (HHSC/DADS)</dc:creator>
  <cp:keywords/>
  <dc:description/>
  <cp:lastModifiedBy>Lee,Jacqueline (HHSC)</cp:lastModifiedBy>
  <cp:revision>9</cp:revision>
  <cp:lastPrinted>2019-12-17T17:35:00Z</cp:lastPrinted>
  <dcterms:created xsi:type="dcterms:W3CDTF">2019-07-16T16:09:00Z</dcterms:created>
  <dcterms:modified xsi:type="dcterms:W3CDTF">2019-12-17T17:39:00Z</dcterms:modified>
</cp:coreProperties>
</file>