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32" w:rsidRPr="00FE0732" w:rsidRDefault="00FE0732" w:rsidP="001833E2">
      <w:pPr>
        <w:pStyle w:val="Heading1"/>
        <w:contextualSpacing/>
        <w:rPr>
          <w:b w:val="0"/>
        </w:rPr>
      </w:pPr>
      <w:r w:rsidRPr="00FE0732">
        <w:rPr>
          <w:b w:val="0"/>
        </w:rPr>
        <w:t xml:space="preserve">[Nutrition Education, Health, Breastfeeding] Fair </w:t>
      </w:r>
      <w:r w:rsidR="00624D2A">
        <w:rPr>
          <w:b w:val="0"/>
        </w:rPr>
        <w:t>Template</w:t>
      </w:r>
    </w:p>
    <w:p w:rsidR="00112E70" w:rsidRPr="008414CC" w:rsidRDefault="00D60026" w:rsidP="001833E2">
      <w:pPr>
        <w:pStyle w:val="Heading1"/>
        <w:contextualSpacing/>
      </w:pPr>
      <w:r>
        <w:t>FAIR</w:t>
      </w:r>
      <w:r w:rsidR="00A95647" w:rsidRPr="008414CC">
        <w:t xml:space="preserve">: </w:t>
      </w:r>
      <w:r w:rsidR="000D2ABC" w:rsidRPr="008414CC">
        <w:t>Lesson Title</w:t>
      </w:r>
      <w:r w:rsidR="00A95647" w:rsidRPr="008414CC">
        <w:t xml:space="preserve"> </w:t>
      </w:r>
      <w:r w:rsidR="00FE0732">
        <w:t>Here</w:t>
      </w:r>
    </w:p>
    <w:p w:rsidR="00FE0732" w:rsidRDefault="00FE0732" w:rsidP="00FE0732">
      <w:r>
        <w:t xml:space="preserve">Client-centered nutrition education uses methods like group discussions and hands-on activities to engage participants in learning. While CCNE group classes provide one of the </w:t>
      </w:r>
      <w:r w:rsidR="00624D2A">
        <w:t>more</w:t>
      </w:r>
      <w:r>
        <w:t xml:space="preserve"> engaging forms of nut</w:t>
      </w:r>
      <w:r w:rsidR="00BE3C74">
        <w:t>rition education, nutrition education/</w:t>
      </w:r>
      <w:r>
        <w:t>health</w:t>
      </w:r>
      <w:r w:rsidR="00BE3C74">
        <w:t>/breastfeeding</w:t>
      </w:r>
      <w:r>
        <w:t xml:space="preserve"> fairs may better meet the needs of participants in some situations.</w:t>
      </w:r>
    </w:p>
    <w:p w:rsidR="00FE0732" w:rsidRDefault="00FE0732" w:rsidP="00FE0732">
      <w:r>
        <w:t xml:space="preserve">Use this template to help you organize content for your fair. It prompts the nutrition educator to think about the learning objectives, materials, and preparation necessary to carry out the </w:t>
      </w:r>
      <w:r w:rsidR="00624D2A">
        <w:t>fair</w:t>
      </w:r>
      <w:r>
        <w:t>.</w:t>
      </w:r>
    </w:p>
    <w:p w:rsidR="00814827" w:rsidRPr="008414CC" w:rsidRDefault="00D02436" w:rsidP="00EC6DD3">
      <w:pPr>
        <w:pStyle w:val="Heading2"/>
      </w:pPr>
      <w:r w:rsidRPr="008414C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157480</wp:posOffset>
                </wp:positionV>
                <wp:extent cx="5741035" cy="0"/>
                <wp:effectExtent l="7620" t="8890" r="13970" b="10160"/>
                <wp:wrapNone/>
                <wp:docPr id="1" name="AutoShape 3" title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0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2F4B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65B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alt="Title: &quot;&quot;" style="position:absolute;margin-left:-1.65pt;margin-top:12.4pt;width:452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" strokecolor="#2f4b99" strokeweight="1pt"/>
            </w:pict>
          </mc:Fallback>
        </mc:AlternateContent>
      </w:r>
    </w:p>
    <w:p w:rsidR="00A95647" w:rsidRPr="008414CC" w:rsidRDefault="00A95647" w:rsidP="006259CD">
      <w:pPr>
        <w:pStyle w:val="Heading2"/>
        <w:ind w:firstLine="0"/>
      </w:pPr>
      <w:r w:rsidRPr="008414CC">
        <w:t xml:space="preserve">Snapshot of </w:t>
      </w:r>
      <w:r w:rsidR="00E54858">
        <w:t>Nutrition</w:t>
      </w:r>
      <w:r w:rsidR="00FE0732">
        <w:t xml:space="preserve"> Education</w:t>
      </w:r>
      <w:r w:rsidR="00E54858">
        <w:t>/Health</w:t>
      </w:r>
      <w:r w:rsidR="00624D2A">
        <w:t>/Breastfeeding</w:t>
      </w:r>
      <w:r w:rsidR="00E54858">
        <w:t xml:space="preserve"> Fair</w:t>
      </w:r>
      <w:r w:rsidRPr="008414CC">
        <w:t>:</w:t>
      </w:r>
    </w:p>
    <w:p w:rsidR="00A95647" w:rsidRPr="008414CC" w:rsidRDefault="00624D2A" w:rsidP="00814827">
      <w:pPr>
        <w:spacing w:before="480" w:after="240"/>
      </w:pPr>
      <w:r>
        <w:rPr>
          <w:b/>
        </w:rPr>
        <w:t>Fair</w:t>
      </w:r>
      <w:r w:rsidR="00A95647" w:rsidRPr="008414CC">
        <w:rPr>
          <w:b/>
        </w:rPr>
        <w:t xml:space="preserve"> title</w:t>
      </w:r>
      <w:r w:rsidR="005C3CCB" w:rsidRPr="008414CC">
        <w:rPr>
          <w:b/>
        </w:rPr>
        <w:t xml:space="preserve">: </w:t>
      </w:r>
      <w:r w:rsidR="005C3CCB" w:rsidRPr="008414CC">
        <w:t>Title here</w:t>
      </w:r>
    </w:p>
    <w:p w:rsidR="00A95647" w:rsidRPr="008414CC" w:rsidRDefault="00A95647" w:rsidP="00814827">
      <w:pPr>
        <w:spacing w:before="480"/>
      </w:pPr>
      <w:r w:rsidRPr="008414CC">
        <w:rPr>
          <w:b/>
        </w:rPr>
        <w:t>Developed by:</w:t>
      </w:r>
      <w:r w:rsidRPr="008414CC">
        <w:t xml:space="preserve"> </w:t>
      </w:r>
      <w:r w:rsidR="005C3CCB" w:rsidRPr="008414CC">
        <w:t xml:space="preserve">Agency name </w:t>
      </w:r>
    </w:p>
    <w:p w:rsidR="00A95647" w:rsidRPr="008414CC" w:rsidRDefault="00A95647" w:rsidP="00814827">
      <w:pPr>
        <w:spacing w:before="480"/>
      </w:pPr>
      <w:r w:rsidRPr="008414CC">
        <w:rPr>
          <w:b/>
        </w:rPr>
        <w:t>Date Developed:</w:t>
      </w:r>
      <w:r w:rsidRPr="008414CC">
        <w:t xml:space="preserve"> </w:t>
      </w:r>
      <w:r w:rsidR="003D7742">
        <w:t xml:space="preserve">Month/Year </w:t>
      </w:r>
    </w:p>
    <w:p w:rsidR="00A95647" w:rsidRPr="008414CC" w:rsidRDefault="00A95647" w:rsidP="00814827">
      <w:pPr>
        <w:spacing w:before="480"/>
      </w:pPr>
      <w:r w:rsidRPr="008414CC">
        <w:rPr>
          <w:b/>
        </w:rPr>
        <w:t>Approved by:</w:t>
      </w:r>
      <w:r w:rsidRPr="008414CC">
        <w:t xml:space="preserve"> </w:t>
      </w:r>
    </w:p>
    <w:p w:rsidR="00A95647" w:rsidRPr="008414CC" w:rsidRDefault="00A51EFC" w:rsidP="00814827">
      <w:pPr>
        <w:spacing w:before="480"/>
      </w:pPr>
      <w:r>
        <w:rPr>
          <w:b/>
        </w:rPr>
        <w:t>Fair</w:t>
      </w:r>
      <w:r w:rsidR="00A95647" w:rsidRPr="008414CC">
        <w:rPr>
          <w:b/>
        </w:rPr>
        <w:t xml:space="preserve"> Description:</w:t>
      </w:r>
      <w:r w:rsidR="00A95647" w:rsidRPr="008414CC">
        <w:t xml:space="preserve"> </w:t>
      </w:r>
    </w:p>
    <w:p w:rsidR="00E54858" w:rsidRDefault="00967FB9" w:rsidP="00814827">
      <w:pPr>
        <w:spacing w:before="480"/>
      </w:pPr>
      <w:r w:rsidRPr="008414CC">
        <w:rPr>
          <w:b/>
        </w:rPr>
        <w:t>Target Audience</w:t>
      </w:r>
      <w:r w:rsidR="00A95647" w:rsidRPr="008414CC">
        <w:rPr>
          <w:b/>
        </w:rPr>
        <w:t>:</w:t>
      </w:r>
      <w:r w:rsidR="00A95647" w:rsidRPr="008414CC">
        <w:t xml:space="preserve"> </w:t>
      </w:r>
    </w:p>
    <w:p w:rsidR="00E54858" w:rsidRDefault="00E54858" w:rsidP="00E54858">
      <w:r>
        <w:br w:type="page"/>
      </w:r>
    </w:p>
    <w:p w:rsidR="009F5442" w:rsidRPr="008414CC" w:rsidRDefault="00D75734" w:rsidP="00F54F3E">
      <w:pPr>
        <w:pStyle w:val="Heading2"/>
        <w:spacing w:after="0"/>
      </w:pPr>
      <w:r>
        <w:t>Fair Outline</w:t>
      </w:r>
    </w:p>
    <w:p w:rsidR="009F5442" w:rsidRPr="008414CC" w:rsidRDefault="00624D2A" w:rsidP="00F54F3E">
      <w:pPr>
        <w:ind w:left="-540" w:hanging="90"/>
      </w:pPr>
      <w:r>
        <w:rPr>
          <w:b/>
        </w:rPr>
        <w:t>Fair</w:t>
      </w:r>
      <w:r w:rsidR="009F5442" w:rsidRPr="008414CC">
        <w:rPr>
          <w:b/>
        </w:rPr>
        <w:t>:</w:t>
      </w:r>
      <w:r w:rsidR="009F5442" w:rsidRPr="008414CC">
        <w:t xml:space="preserve"> Type</w:t>
      </w:r>
      <w:r w:rsidR="00F54F3E" w:rsidRPr="008414CC">
        <w:t xml:space="preserve"> </w:t>
      </w:r>
      <w:r>
        <w:t>fair</w:t>
      </w:r>
      <w:r w:rsidR="00E229FD" w:rsidRPr="008414CC">
        <w:t xml:space="preserve"> </w:t>
      </w:r>
      <w:r w:rsidR="00F54F3E" w:rsidRPr="008414CC">
        <w:t>code and</w:t>
      </w:r>
      <w:r w:rsidR="009F5442" w:rsidRPr="008414CC">
        <w:t xml:space="preserve"> </w:t>
      </w:r>
      <w:r w:rsidR="00F54F3E" w:rsidRPr="008414CC">
        <w:t>title here</w:t>
      </w:r>
      <w:r w:rsidR="009F5442" w:rsidRPr="008414CC">
        <w:t>.</w:t>
      </w: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7380"/>
      </w:tblGrid>
      <w:tr w:rsidR="00A95647" w:rsidRPr="008414CC" w:rsidTr="00712AEC">
        <w:trPr>
          <w:cantSplit/>
          <w:tblHeader/>
        </w:trPr>
        <w:tc>
          <w:tcPr>
            <w:tcW w:w="3330" w:type="dxa"/>
            <w:tcBorders>
              <w:bottom w:val="single" w:sz="4" w:space="0" w:color="auto"/>
            </w:tcBorders>
            <w:shd w:val="pct15" w:color="auto" w:fill="auto"/>
          </w:tcPr>
          <w:p w:rsidR="00A95647" w:rsidRPr="008414CC" w:rsidRDefault="00A95647" w:rsidP="0063065F">
            <w:pPr>
              <w:pStyle w:val="Heading3"/>
              <w:rPr>
                <w:color w:val="auto"/>
              </w:rPr>
            </w:pPr>
            <w:r w:rsidRPr="008414CC">
              <w:rPr>
                <w:color w:val="auto"/>
              </w:rPr>
              <w:t>Item</w:t>
            </w:r>
          </w:p>
        </w:tc>
        <w:tc>
          <w:tcPr>
            <w:tcW w:w="7380" w:type="dxa"/>
            <w:shd w:val="pct15" w:color="auto" w:fill="auto"/>
          </w:tcPr>
          <w:p w:rsidR="00A95647" w:rsidRPr="008414CC" w:rsidRDefault="00A95647" w:rsidP="00624D2A">
            <w:pPr>
              <w:pStyle w:val="Heading3"/>
              <w:rPr>
                <w:color w:val="auto"/>
              </w:rPr>
            </w:pPr>
            <w:r w:rsidRPr="008414CC">
              <w:rPr>
                <w:color w:val="auto"/>
              </w:rPr>
              <w:t xml:space="preserve">Notes for Planning the </w:t>
            </w:r>
            <w:r w:rsidR="00624D2A">
              <w:rPr>
                <w:color w:val="auto"/>
              </w:rPr>
              <w:t>Fair</w:t>
            </w:r>
          </w:p>
        </w:tc>
      </w:tr>
      <w:tr w:rsidR="00A95647" w:rsidRPr="008414CC" w:rsidTr="00C321C1">
        <w:tc>
          <w:tcPr>
            <w:tcW w:w="3330" w:type="dxa"/>
            <w:shd w:val="pct10" w:color="auto" w:fill="auto"/>
          </w:tcPr>
          <w:p w:rsidR="00A95647" w:rsidRPr="008414CC" w:rsidRDefault="00A95647" w:rsidP="00D75734">
            <w:pPr>
              <w:pStyle w:val="Heading4"/>
              <w:rPr>
                <w:color w:val="auto"/>
              </w:rPr>
            </w:pPr>
            <w:r w:rsidRPr="008414CC">
              <w:rPr>
                <w:b/>
                <w:color w:val="auto"/>
              </w:rPr>
              <w:t>Learning Objective(s)</w:t>
            </w:r>
            <w:r w:rsidRPr="008414CC">
              <w:rPr>
                <w:color w:val="auto"/>
              </w:rPr>
              <w:t xml:space="preserve"> – What will the </w:t>
            </w:r>
            <w:r w:rsidR="00D75734">
              <w:rPr>
                <w:color w:val="auto"/>
              </w:rPr>
              <w:t>participants</w:t>
            </w:r>
            <w:r w:rsidRPr="008414CC">
              <w:rPr>
                <w:color w:val="auto"/>
              </w:rPr>
              <w:t xml:space="preserve"> gain from the </w:t>
            </w:r>
            <w:r w:rsidR="00AC4C5F">
              <w:rPr>
                <w:color w:val="auto"/>
              </w:rPr>
              <w:t>fair</w:t>
            </w:r>
            <w:r w:rsidRPr="008414CC">
              <w:rPr>
                <w:color w:val="auto"/>
              </w:rPr>
              <w:t>?</w:t>
            </w:r>
          </w:p>
        </w:tc>
        <w:tc>
          <w:tcPr>
            <w:tcW w:w="7380" w:type="dxa"/>
          </w:tcPr>
          <w:p w:rsidR="00A95647" w:rsidRPr="008414CC" w:rsidRDefault="00A95647" w:rsidP="00A95647">
            <w:r w:rsidRPr="008414CC">
              <w:t xml:space="preserve">By the end of the </w:t>
            </w:r>
            <w:r w:rsidR="00AC4C5F">
              <w:t>fair</w:t>
            </w:r>
            <w:r w:rsidRPr="008414CC">
              <w:t xml:space="preserve">, participants will: </w:t>
            </w:r>
          </w:p>
          <w:p w:rsidR="00A95647" w:rsidRPr="008414CC" w:rsidRDefault="00EC6DD3" w:rsidP="00712AEC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8414CC">
              <w:t>Type text here</w:t>
            </w:r>
            <w:r w:rsidR="00680C65" w:rsidRPr="008414CC">
              <w:t xml:space="preserve">. </w:t>
            </w:r>
          </w:p>
          <w:p w:rsidR="00C03157" w:rsidRDefault="00EC6DD3" w:rsidP="00712AEC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8414CC">
              <w:t>Type text here.</w:t>
            </w:r>
          </w:p>
          <w:p w:rsidR="00680C65" w:rsidRPr="008414CC" w:rsidRDefault="00FE0732" w:rsidP="00712AEC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8414CC">
              <w:t>Type text here.</w:t>
            </w:r>
          </w:p>
        </w:tc>
      </w:tr>
      <w:tr w:rsidR="00FE0732" w:rsidRPr="008414CC" w:rsidTr="005E5107">
        <w:trPr>
          <w:trHeight w:val="2303"/>
        </w:trPr>
        <w:tc>
          <w:tcPr>
            <w:tcW w:w="3330" w:type="dxa"/>
            <w:shd w:val="pct10" w:color="auto" w:fill="auto"/>
          </w:tcPr>
          <w:p w:rsidR="00FE0732" w:rsidRPr="008414CC" w:rsidRDefault="00FE0732" w:rsidP="00CC2702">
            <w:pPr>
              <w:pStyle w:val="Heading4"/>
              <w:rPr>
                <w:color w:val="auto"/>
              </w:rPr>
            </w:pPr>
            <w:r w:rsidRPr="008414CC">
              <w:rPr>
                <w:b/>
                <w:color w:val="auto"/>
              </w:rPr>
              <w:t>Key Content Points</w:t>
            </w:r>
            <w:r w:rsidRPr="008414CC">
              <w:rPr>
                <w:color w:val="auto"/>
              </w:rPr>
              <w:t xml:space="preserve"> – What key information do the learners need to know to achieve the learning objective(s)? Aim for three main points.</w:t>
            </w:r>
          </w:p>
        </w:tc>
        <w:tc>
          <w:tcPr>
            <w:tcW w:w="7380" w:type="dxa"/>
          </w:tcPr>
          <w:p w:rsidR="00FE0732" w:rsidRPr="008414CC" w:rsidRDefault="00FE0732" w:rsidP="00712AEC">
            <w:pPr>
              <w:pStyle w:val="ListParagraph"/>
              <w:numPr>
                <w:ilvl w:val="0"/>
                <w:numId w:val="34"/>
              </w:numPr>
              <w:spacing w:line="360" w:lineRule="auto"/>
            </w:pPr>
            <w:r w:rsidRPr="008414CC">
              <w:t>Type text here.</w:t>
            </w:r>
          </w:p>
          <w:p w:rsidR="00FE0732" w:rsidRPr="008414CC" w:rsidRDefault="00FE0732" w:rsidP="00712AEC">
            <w:pPr>
              <w:pStyle w:val="ListParagraph"/>
              <w:numPr>
                <w:ilvl w:val="0"/>
                <w:numId w:val="34"/>
              </w:numPr>
              <w:spacing w:line="360" w:lineRule="auto"/>
            </w:pPr>
            <w:r w:rsidRPr="008414CC">
              <w:t>Type text here.</w:t>
            </w:r>
          </w:p>
          <w:p w:rsidR="00FE0732" w:rsidRPr="008414CC" w:rsidRDefault="00FE0732" w:rsidP="00712AEC">
            <w:pPr>
              <w:pStyle w:val="ListParagraph"/>
              <w:numPr>
                <w:ilvl w:val="0"/>
                <w:numId w:val="34"/>
              </w:numPr>
              <w:spacing w:line="360" w:lineRule="auto"/>
            </w:pPr>
            <w:r w:rsidRPr="008414CC">
              <w:t>Type text here.</w:t>
            </w:r>
          </w:p>
          <w:p w:rsidR="00FE0732" w:rsidRPr="008414CC" w:rsidRDefault="00FE0732" w:rsidP="00CC2702">
            <w:pPr>
              <w:pStyle w:val="ListParagraph"/>
              <w:ind w:left="0" w:firstLine="342"/>
            </w:pPr>
            <w:bookmarkStart w:id="0" w:name="_GoBack"/>
            <w:bookmarkEnd w:id="0"/>
          </w:p>
        </w:tc>
      </w:tr>
      <w:tr w:rsidR="00FE0732" w:rsidRPr="008414CC" w:rsidTr="00C321C1">
        <w:tc>
          <w:tcPr>
            <w:tcW w:w="3330" w:type="dxa"/>
            <w:shd w:val="pct10" w:color="auto" w:fill="auto"/>
          </w:tcPr>
          <w:p w:rsidR="00FE0732" w:rsidRPr="008414CC" w:rsidRDefault="00FE0732" w:rsidP="00AC4C5F">
            <w:pPr>
              <w:pStyle w:val="Heading4"/>
              <w:rPr>
                <w:color w:val="auto"/>
              </w:rPr>
            </w:pPr>
            <w:r>
              <w:rPr>
                <w:b/>
                <w:color w:val="auto"/>
              </w:rPr>
              <w:t>Fair Content</w:t>
            </w:r>
            <w:r w:rsidRPr="008414CC">
              <w:rPr>
                <w:b/>
                <w:color w:val="auto"/>
              </w:rPr>
              <w:t xml:space="preserve"> </w:t>
            </w:r>
            <w:r w:rsidRPr="008414CC">
              <w:rPr>
                <w:color w:val="auto"/>
              </w:rPr>
              <w:t xml:space="preserve">– </w:t>
            </w:r>
            <w:r>
              <w:rPr>
                <w:color w:val="auto"/>
              </w:rPr>
              <w:t xml:space="preserve">What type of booths will at the fair? Will there be outside agencies/exhibitors? Provide basic overview of the topics covered at this fair. </w:t>
            </w:r>
          </w:p>
        </w:tc>
        <w:tc>
          <w:tcPr>
            <w:tcW w:w="7380" w:type="dxa"/>
          </w:tcPr>
          <w:p w:rsidR="00FE0732" w:rsidRDefault="00FE0732" w:rsidP="00C03157">
            <w:pPr>
              <w:pStyle w:val="ListParagraph"/>
              <w:ind w:left="0"/>
            </w:pPr>
            <w:r w:rsidRPr="008414CC">
              <w:t xml:space="preserve">Type text here. </w:t>
            </w:r>
          </w:p>
          <w:p w:rsidR="00FE0732" w:rsidRDefault="00FE0732" w:rsidP="00712AEC">
            <w:pPr>
              <w:pStyle w:val="ListParagraph"/>
              <w:spacing w:line="600" w:lineRule="auto"/>
              <w:ind w:left="316"/>
            </w:pPr>
          </w:p>
          <w:p w:rsidR="00FE0732" w:rsidRDefault="00FE0732" w:rsidP="00712AEC">
            <w:pPr>
              <w:pStyle w:val="ListParagraph"/>
              <w:spacing w:line="600" w:lineRule="auto"/>
              <w:ind w:left="316"/>
            </w:pPr>
          </w:p>
          <w:p w:rsidR="00FE0732" w:rsidRDefault="00FE0732" w:rsidP="00712AEC">
            <w:pPr>
              <w:pStyle w:val="ListParagraph"/>
              <w:spacing w:line="600" w:lineRule="auto"/>
              <w:ind w:left="316"/>
            </w:pPr>
          </w:p>
          <w:p w:rsidR="00FE0732" w:rsidRDefault="00FE0732" w:rsidP="00712AEC">
            <w:pPr>
              <w:pStyle w:val="ListParagraph"/>
              <w:spacing w:line="600" w:lineRule="auto"/>
              <w:ind w:left="316"/>
            </w:pPr>
          </w:p>
          <w:p w:rsidR="00FE0732" w:rsidRDefault="00FE0732" w:rsidP="00712AEC">
            <w:pPr>
              <w:pStyle w:val="ListParagraph"/>
              <w:spacing w:line="600" w:lineRule="auto"/>
              <w:ind w:left="316"/>
            </w:pPr>
          </w:p>
          <w:p w:rsidR="00FE0732" w:rsidRDefault="00FE0732" w:rsidP="00712AEC">
            <w:pPr>
              <w:pStyle w:val="ListParagraph"/>
              <w:spacing w:line="600" w:lineRule="auto"/>
              <w:ind w:left="316"/>
            </w:pPr>
          </w:p>
          <w:p w:rsidR="00FE0732" w:rsidRDefault="00FE0732" w:rsidP="00712AEC">
            <w:pPr>
              <w:pStyle w:val="ListParagraph"/>
              <w:spacing w:line="600" w:lineRule="auto"/>
              <w:ind w:left="316"/>
            </w:pPr>
          </w:p>
          <w:p w:rsidR="00FE0732" w:rsidRDefault="00FE0732" w:rsidP="00712AEC">
            <w:pPr>
              <w:spacing w:line="600" w:lineRule="auto"/>
              <w:ind w:left="316"/>
            </w:pPr>
          </w:p>
          <w:p w:rsidR="00FE0732" w:rsidRPr="008414CC" w:rsidRDefault="00FE0732" w:rsidP="00712AEC">
            <w:pPr>
              <w:spacing w:line="600" w:lineRule="auto"/>
              <w:ind w:left="316"/>
            </w:pPr>
          </w:p>
          <w:p w:rsidR="00FE0732" w:rsidRPr="008414CC" w:rsidRDefault="00FE0732" w:rsidP="005E5107">
            <w:pPr>
              <w:pStyle w:val="ListParagraph"/>
              <w:ind w:left="0" w:firstLine="342"/>
            </w:pPr>
          </w:p>
        </w:tc>
      </w:tr>
      <w:tr w:rsidR="00FE0732" w:rsidRPr="008414CC" w:rsidTr="00C321C1">
        <w:tc>
          <w:tcPr>
            <w:tcW w:w="3330" w:type="dxa"/>
            <w:shd w:val="pct10" w:color="auto" w:fill="auto"/>
          </w:tcPr>
          <w:p w:rsidR="00FE0732" w:rsidRPr="008414CC" w:rsidRDefault="00FE0732" w:rsidP="00FE0732">
            <w:pPr>
              <w:pStyle w:val="Heading4"/>
              <w:rPr>
                <w:color w:val="auto"/>
              </w:rPr>
            </w:pPr>
            <w:r>
              <w:rPr>
                <w:b/>
                <w:color w:val="auto"/>
              </w:rPr>
              <w:lastRenderedPageBreak/>
              <w:t>Evaluation</w:t>
            </w:r>
            <w:r w:rsidRPr="008414CC">
              <w:rPr>
                <w:color w:val="auto"/>
              </w:rPr>
              <w:t xml:space="preserve"> – </w:t>
            </w:r>
            <w:r>
              <w:rPr>
                <w:color w:val="auto"/>
              </w:rPr>
              <w:t>How will the participant’s learning be evaluated? Describe how your participants will receive NE credit (i.e. by attending, by completing an evaluation</w:t>
            </w:r>
            <w:r w:rsidR="00624D2A">
              <w:rPr>
                <w:color w:val="auto"/>
              </w:rPr>
              <w:t xml:space="preserve"> or survey</w:t>
            </w:r>
            <w:r>
              <w:rPr>
                <w:color w:val="auto"/>
              </w:rPr>
              <w:t>, by visiting each booth). Please provide a sample of questions you will ask participants, if applicable</w:t>
            </w:r>
            <w:r w:rsidRPr="008414CC">
              <w:rPr>
                <w:color w:val="auto"/>
              </w:rPr>
              <w:t>.</w:t>
            </w:r>
          </w:p>
        </w:tc>
        <w:tc>
          <w:tcPr>
            <w:tcW w:w="7380" w:type="dxa"/>
          </w:tcPr>
          <w:p w:rsidR="00FE0732" w:rsidRDefault="00FE0732" w:rsidP="00E8214B">
            <w:pPr>
              <w:pStyle w:val="ListParagraph"/>
              <w:ind w:left="0"/>
            </w:pPr>
            <w:r w:rsidRPr="008414CC">
              <w:t xml:space="preserve">Type text here. </w:t>
            </w:r>
          </w:p>
          <w:p w:rsidR="00FE0732" w:rsidRPr="008414CC" w:rsidRDefault="00FE0732" w:rsidP="001833E2">
            <w:pPr>
              <w:pStyle w:val="ListParagraph"/>
              <w:ind w:left="166"/>
            </w:pPr>
          </w:p>
        </w:tc>
      </w:tr>
      <w:tr w:rsidR="00FE0732" w:rsidRPr="008414CC" w:rsidTr="00C321C1">
        <w:trPr>
          <w:cantSplit/>
        </w:trPr>
        <w:tc>
          <w:tcPr>
            <w:tcW w:w="3330" w:type="dxa"/>
            <w:shd w:val="pct10" w:color="auto" w:fill="auto"/>
          </w:tcPr>
          <w:p w:rsidR="00FE0732" w:rsidRDefault="00FE0732" w:rsidP="00C03157">
            <w:pPr>
              <w:pStyle w:val="Heading4"/>
              <w:rPr>
                <w:color w:val="auto"/>
              </w:rPr>
            </w:pPr>
            <w:r>
              <w:rPr>
                <w:b/>
                <w:color w:val="auto"/>
              </w:rPr>
              <w:t>Supplemental Information</w:t>
            </w:r>
            <w:r w:rsidRPr="008414CC">
              <w:rPr>
                <w:color w:val="auto"/>
              </w:rPr>
              <w:t xml:space="preserve"> – Note any extra preparation that may be needed.</w:t>
            </w:r>
            <w:r>
              <w:rPr>
                <w:color w:val="auto"/>
              </w:rPr>
              <w:t xml:space="preserve"> Include any other information or materials needed. </w:t>
            </w:r>
          </w:p>
          <w:p w:rsidR="001833E2" w:rsidRPr="001833E2" w:rsidRDefault="001833E2" w:rsidP="001833E2"/>
        </w:tc>
        <w:tc>
          <w:tcPr>
            <w:tcW w:w="7380" w:type="dxa"/>
          </w:tcPr>
          <w:p w:rsidR="00FE0732" w:rsidRDefault="00FE0732" w:rsidP="00E8214B">
            <w:pPr>
              <w:pStyle w:val="ListParagraph"/>
              <w:ind w:left="0"/>
            </w:pPr>
            <w:r w:rsidRPr="008414CC">
              <w:t xml:space="preserve">Type text here. </w:t>
            </w:r>
          </w:p>
          <w:p w:rsidR="00FE0732" w:rsidRPr="008414CC" w:rsidRDefault="00FE0732" w:rsidP="001833E2">
            <w:pPr>
              <w:pStyle w:val="ListParagraph"/>
              <w:ind w:left="166"/>
            </w:pPr>
          </w:p>
        </w:tc>
      </w:tr>
    </w:tbl>
    <w:p w:rsidR="00FE0732" w:rsidRPr="005E6491" w:rsidRDefault="00FE0732" w:rsidP="001833E2">
      <w:pPr>
        <w:spacing w:before="36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Nutrition Education, Health, or Breastfeeding Fair</w:t>
      </w:r>
      <w:r w:rsidRPr="003D4391">
        <w:rPr>
          <w:rFonts w:ascii="Cambria" w:hAnsi="Cambria"/>
          <w:b/>
          <w:sz w:val="24"/>
          <w:szCs w:val="24"/>
          <w:u w:val="single"/>
        </w:rPr>
        <w:t xml:space="preserve"> Development Checklist</w:t>
      </w:r>
    </w:p>
    <w:p w:rsidR="00FE0732" w:rsidRPr="00624D2A" w:rsidRDefault="00FE0732" w:rsidP="001833E2">
      <w:pPr>
        <w:pStyle w:val="Default"/>
        <w:ind w:left="1080" w:hanging="360"/>
      </w:pPr>
      <w:r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r w:rsidRPr="005E6491">
        <w:t>T</w:t>
      </w:r>
      <w:r>
        <w:t>his fair focuses on only 2-3 key content points.</w:t>
      </w:r>
      <w:r w:rsidR="00624D2A">
        <w:t xml:space="preserve"> If the fair is intended for multiple audiences, such as pregnant, infant, and child categories, limit content points to 1-2 per audience.</w:t>
      </w:r>
    </w:p>
    <w:p w:rsidR="00FE0732" w:rsidRDefault="00FE0732" w:rsidP="001833E2">
      <w:pPr>
        <w:pStyle w:val="Default"/>
        <w:ind w:left="1080" w:hanging="360"/>
        <w:rPr>
          <w:sz w:val="22"/>
          <w:szCs w:val="22"/>
        </w:rPr>
      </w:pPr>
      <w:r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r w:rsidR="004F65BC">
        <w:t>Materials used at the fair are</w:t>
      </w:r>
      <w:r w:rsidRPr="005E6491">
        <w:t xml:space="preserve"> easy to understand</w:t>
      </w:r>
      <w:r>
        <w:t>.</w:t>
      </w:r>
      <w:r w:rsidR="004F65BC">
        <w:t xml:space="preserve"> Suggested reading level of 5</w:t>
      </w:r>
      <w:r w:rsidR="004F65BC" w:rsidRPr="004F65BC">
        <w:rPr>
          <w:vertAlign w:val="superscript"/>
        </w:rPr>
        <w:t>th</w:t>
      </w:r>
      <w:r w:rsidR="004F65BC">
        <w:t xml:space="preserve"> grade or lower. </w:t>
      </w:r>
      <w:r>
        <w:rPr>
          <w:sz w:val="22"/>
          <w:szCs w:val="22"/>
        </w:rPr>
        <w:t xml:space="preserve"> </w:t>
      </w:r>
    </w:p>
    <w:p w:rsidR="00FE0732" w:rsidRPr="005E6491" w:rsidRDefault="00FE0732" w:rsidP="001833E2">
      <w:pPr>
        <w:pStyle w:val="Default"/>
        <w:ind w:left="1080" w:hanging="360"/>
      </w:pPr>
      <w:r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r>
        <w:t>The visuals</w:t>
      </w:r>
      <w:r w:rsidRPr="005E6491">
        <w:t xml:space="preserve"> used enhance the </w:t>
      </w:r>
      <w:r w:rsidR="00624D2A">
        <w:t>learning experience</w:t>
      </w:r>
      <w:r>
        <w:t>.</w:t>
      </w:r>
    </w:p>
    <w:p w:rsidR="00FE0732" w:rsidRDefault="00FE0732" w:rsidP="001833E2">
      <w:pPr>
        <w:pStyle w:val="Default"/>
        <w:ind w:left="1080" w:hanging="360"/>
        <w:rPr>
          <w:sz w:val="22"/>
          <w:szCs w:val="22"/>
        </w:rPr>
      </w:pPr>
      <w:r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r w:rsidRPr="005E6491">
        <w:t xml:space="preserve">This </w:t>
      </w:r>
      <w:r>
        <w:t>fair attempts to be interactive or</w:t>
      </w:r>
      <w:r w:rsidRPr="005E6491">
        <w:t xml:space="preserve"> tailored to the participant</w:t>
      </w:r>
      <w:r>
        <w:t>.</w:t>
      </w:r>
      <w:r>
        <w:rPr>
          <w:sz w:val="22"/>
          <w:szCs w:val="22"/>
        </w:rPr>
        <w:t xml:space="preserve"> </w:t>
      </w:r>
    </w:p>
    <w:p w:rsidR="00FE0732" w:rsidRPr="005E6491" w:rsidRDefault="00FE0732" w:rsidP="001833E2">
      <w:pPr>
        <w:pStyle w:val="Default"/>
        <w:ind w:left="1080" w:hanging="360"/>
      </w:pPr>
      <w:r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r w:rsidRPr="005E6491">
        <w:t xml:space="preserve">This </w:t>
      </w:r>
      <w:r>
        <w:t>fair</w:t>
      </w:r>
      <w:r w:rsidRPr="005E6491">
        <w:t xml:space="preserve"> has been pe</w:t>
      </w:r>
      <w:r>
        <w:t>er reviewed by 1-2 people</w:t>
      </w:r>
      <w:r w:rsidR="004F65BC">
        <w:t xml:space="preserve"> (preferably an RD)</w:t>
      </w:r>
      <w:r>
        <w:t>.</w:t>
      </w:r>
    </w:p>
    <w:p w:rsidR="00FE0732" w:rsidRDefault="00FE0732" w:rsidP="001833E2">
      <w:pPr>
        <w:pStyle w:val="Default"/>
        <w:ind w:left="1080" w:hanging="360"/>
      </w:pPr>
      <w:r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r w:rsidRPr="005E6491">
        <w:t xml:space="preserve">This </w:t>
      </w:r>
      <w:r>
        <w:t>fair</w:t>
      </w:r>
      <w:r w:rsidRPr="005E6491">
        <w:t xml:space="preserve"> inclu</w:t>
      </w:r>
      <w:r>
        <w:t>des an evaluation component (e</w:t>
      </w:r>
      <w:r w:rsidRPr="005E6491">
        <w:t>.</w:t>
      </w:r>
      <w:r>
        <w:t>g.</w:t>
      </w:r>
      <w:r w:rsidRPr="005E6491">
        <w:t xml:space="preserve"> worksheet, discussion)</w:t>
      </w:r>
      <w:r>
        <w:t>.</w:t>
      </w:r>
    </w:p>
    <w:p w:rsidR="00624D2A" w:rsidRDefault="00624D2A" w:rsidP="00624D2A">
      <w:pPr>
        <w:pStyle w:val="Default"/>
      </w:pPr>
    </w:p>
    <w:p w:rsidR="00624D2A" w:rsidRDefault="00624D2A" w:rsidP="00624D2A">
      <w:pPr>
        <w:pStyle w:val="Default"/>
      </w:pPr>
      <w:r>
        <w:t>*See CCNE Toolkit, Module 4, for additional ideas when planning fairs.</w:t>
      </w:r>
    </w:p>
    <w:p w:rsidR="001833E2" w:rsidRPr="001833E2" w:rsidRDefault="001833E2" w:rsidP="001833E2"/>
    <w:sectPr w:rsidR="001833E2" w:rsidRPr="001833E2" w:rsidSect="00050945">
      <w:footerReference w:type="default" r:id="rId7"/>
      <w:pgSz w:w="12240" w:h="15840"/>
      <w:pgMar w:top="864" w:right="1620" w:bottom="57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83D" w:rsidRDefault="005D283D" w:rsidP="005C0F6A">
      <w:pPr>
        <w:spacing w:before="0" w:after="0" w:line="240" w:lineRule="auto"/>
      </w:pPr>
      <w:r>
        <w:separator/>
      </w:r>
    </w:p>
  </w:endnote>
  <w:endnote w:type="continuationSeparator" w:id="0">
    <w:p w:rsidR="005D283D" w:rsidRDefault="005D283D" w:rsidP="005C0F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F6A" w:rsidRPr="005C0F6A" w:rsidRDefault="005C0F6A">
    <w:pPr>
      <w:pStyle w:val="Footer"/>
      <w:jc w:val="right"/>
      <w:rPr>
        <w:sz w:val="20"/>
        <w:szCs w:val="20"/>
      </w:rPr>
    </w:pPr>
    <w:r w:rsidRPr="005C0F6A">
      <w:rPr>
        <w:sz w:val="20"/>
        <w:szCs w:val="20"/>
      </w:rPr>
      <w:t xml:space="preserve">Page | </w:t>
    </w:r>
    <w:r w:rsidRPr="005C0F6A">
      <w:rPr>
        <w:sz w:val="20"/>
        <w:szCs w:val="20"/>
      </w:rPr>
      <w:fldChar w:fldCharType="begin"/>
    </w:r>
    <w:r w:rsidRPr="005C0F6A">
      <w:rPr>
        <w:sz w:val="20"/>
        <w:szCs w:val="20"/>
      </w:rPr>
      <w:instrText xml:space="preserve"> PAGE   \* MERGEFORMAT </w:instrText>
    </w:r>
    <w:r w:rsidRPr="005C0F6A">
      <w:rPr>
        <w:sz w:val="20"/>
        <w:szCs w:val="20"/>
      </w:rPr>
      <w:fldChar w:fldCharType="separate"/>
    </w:r>
    <w:r w:rsidR="00712AEC">
      <w:rPr>
        <w:noProof/>
        <w:sz w:val="20"/>
        <w:szCs w:val="20"/>
      </w:rPr>
      <w:t>1</w:t>
    </w:r>
    <w:r w:rsidRPr="005C0F6A">
      <w:rPr>
        <w:sz w:val="20"/>
        <w:szCs w:val="20"/>
      </w:rPr>
      <w:fldChar w:fldCharType="end"/>
    </w:r>
    <w:r w:rsidRPr="005C0F6A">
      <w:rPr>
        <w:sz w:val="20"/>
        <w:szCs w:val="20"/>
      </w:rPr>
      <w:t xml:space="preserve"> </w:t>
    </w:r>
  </w:p>
  <w:p w:rsidR="005C0F6A" w:rsidRDefault="005C0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83D" w:rsidRDefault="005D283D" w:rsidP="005C0F6A">
      <w:pPr>
        <w:spacing w:before="0" w:after="0" w:line="240" w:lineRule="auto"/>
      </w:pPr>
      <w:r>
        <w:separator/>
      </w:r>
    </w:p>
  </w:footnote>
  <w:footnote w:type="continuationSeparator" w:id="0">
    <w:p w:rsidR="005D283D" w:rsidRDefault="005D283D" w:rsidP="005C0F6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A4EBE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AD82B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90CE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A4F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14A0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6244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7A70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8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D48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F08B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A4983"/>
    <w:multiLevelType w:val="hybridMultilevel"/>
    <w:tmpl w:val="E392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67412"/>
    <w:multiLevelType w:val="hybridMultilevel"/>
    <w:tmpl w:val="2BBE73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BB4E14"/>
    <w:multiLevelType w:val="hybridMultilevel"/>
    <w:tmpl w:val="117E6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6C7B64"/>
    <w:multiLevelType w:val="hybridMultilevel"/>
    <w:tmpl w:val="05C0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222E57"/>
    <w:multiLevelType w:val="hybridMultilevel"/>
    <w:tmpl w:val="06C06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1152F"/>
    <w:multiLevelType w:val="hybridMultilevel"/>
    <w:tmpl w:val="CEC631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8FF2A19"/>
    <w:multiLevelType w:val="hybridMultilevel"/>
    <w:tmpl w:val="62AC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377AA7"/>
    <w:multiLevelType w:val="hybridMultilevel"/>
    <w:tmpl w:val="73F2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3A069E"/>
    <w:multiLevelType w:val="hybridMultilevel"/>
    <w:tmpl w:val="5A446B54"/>
    <w:lvl w:ilvl="0" w:tplc="37E00D7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8127DA"/>
    <w:multiLevelType w:val="hybridMultilevel"/>
    <w:tmpl w:val="3388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C451FB"/>
    <w:multiLevelType w:val="hybridMultilevel"/>
    <w:tmpl w:val="85767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A43254"/>
    <w:multiLevelType w:val="hybridMultilevel"/>
    <w:tmpl w:val="D8445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7E044D"/>
    <w:multiLevelType w:val="hybridMultilevel"/>
    <w:tmpl w:val="6CC06A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8C42FC1"/>
    <w:multiLevelType w:val="hybridMultilevel"/>
    <w:tmpl w:val="7AE070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DA7129"/>
    <w:multiLevelType w:val="hybridMultilevel"/>
    <w:tmpl w:val="0D7E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DA7B4D"/>
    <w:multiLevelType w:val="hybridMultilevel"/>
    <w:tmpl w:val="0522233C"/>
    <w:lvl w:ilvl="0" w:tplc="FFFFFFFF">
      <w:start w:val="1"/>
      <w:numFmt w:val="decimal"/>
      <w:lvlText w:val="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311F2D"/>
    <w:multiLevelType w:val="hybridMultilevel"/>
    <w:tmpl w:val="5FE8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DE4F10"/>
    <w:multiLevelType w:val="hybridMultilevel"/>
    <w:tmpl w:val="A928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B6DB8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0531ED"/>
    <w:multiLevelType w:val="hybridMultilevel"/>
    <w:tmpl w:val="E618C50C"/>
    <w:lvl w:ilvl="0" w:tplc="7E62F8C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32D72DE1"/>
    <w:multiLevelType w:val="hybridMultilevel"/>
    <w:tmpl w:val="A6F21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D63C77"/>
    <w:multiLevelType w:val="hybridMultilevel"/>
    <w:tmpl w:val="E5301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986773"/>
    <w:multiLevelType w:val="hybridMultilevel"/>
    <w:tmpl w:val="EDE89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0197F"/>
    <w:multiLevelType w:val="hybridMultilevel"/>
    <w:tmpl w:val="008A1226"/>
    <w:lvl w:ilvl="0" w:tplc="FD6E253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BA3FE1"/>
    <w:multiLevelType w:val="hybridMultilevel"/>
    <w:tmpl w:val="C18A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A72A2"/>
    <w:multiLevelType w:val="hybridMultilevel"/>
    <w:tmpl w:val="ED3C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D65C5D"/>
    <w:multiLevelType w:val="hybridMultilevel"/>
    <w:tmpl w:val="CC52E1F0"/>
    <w:lvl w:ilvl="0" w:tplc="EE62C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C0A59"/>
    <w:multiLevelType w:val="hybridMultilevel"/>
    <w:tmpl w:val="72A6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D16FBA"/>
    <w:multiLevelType w:val="hybridMultilevel"/>
    <w:tmpl w:val="58E0F7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55A84"/>
    <w:multiLevelType w:val="hybridMultilevel"/>
    <w:tmpl w:val="A7528B4A"/>
    <w:lvl w:ilvl="0" w:tplc="EE62C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768D3"/>
    <w:multiLevelType w:val="hybridMultilevel"/>
    <w:tmpl w:val="025C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A9DD0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B3567"/>
    <w:multiLevelType w:val="hybridMultilevel"/>
    <w:tmpl w:val="E9BA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21D20"/>
    <w:multiLevelType w:val="hybridMultilevel"/>
    <w:tmpl w:val="F944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406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87F74EF"/>
    <w:multiLevelType w:val="hybridMultilevel"/>
    <w:tmpl w:val="4704BE8A"/>
    <w:lvl w:ilvl="0" w:tplc="EC36885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B9A2782"/>
    <w:multiLevelType w:val="hybridMultilevel"/>
    <w:tmpl w:val="A400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41966"/>
    <w:multiLevelType w:val="hybridMultilevel"/>
    <w:tmpl w:val="0EC2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4"/>
  </w:num>
  <w:num w:numId="3">
    <w:abstractNumId w:val="17"/>
  </w:num>
  <w:num w:numId="4">
    <w:abstractNumId w:val="10"/>
  </w:num>
  <w:num w:numId="5">
    <w:abstractNumId w:val="41"/>
  </w:num>
  <w:num w:numId="6">
    <w:abstractNumId w:val="16"/>
  </w:num>
  <w:num w:numId="7">
    <w:abstractNumId w:val="27"/>
  </w:num>
  <w:num w:numId="8">
    <w:abstractNumId w:val="21"/>
  </w:num>
  <w:num w:numId="9">
    <w:abstractNumId w:val="39"/>
  </w:num>
  <w:num w:numId="10">
    <w:abstractNumId w:val="24"/>
  </w:num>
  <w:num w:numId="11">
    <w:abstractNumId w:val="18"/>
  </w:num>
  <w:num w:numId="12">
    <w:abstractNumId w:val="26"/>
  </w:num>
  <w:num w:numId="13">
    <w:abstractNumId w:val="36"/>
  </w:num>
  <w:num w:numId="14">
    <w:abstractNumId w:val="37"/>
  </w:num>
  <w:num w:numId="15">
    <w:abstractNumId w:val="31"/>
  </w:num>
  <w:num w:numId="16">
    <w:abstractNumId w:val="20"/>
  </w:num>
  <w:num w:numId="17">
    <w:abstractNumId w:val="23"/>
  </w:num>
  <w:num w:numId="18">
    <w:abstractNumId w:val="45"/>
  </w:num>
  <w:num w:numId="19">
    <w:abstractNumId w:val="34"/>
  </w:num>
  <w:num w:numId="20">
    <w:abstractNumId w:val="1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4"/>
  </w:num>
  <w:num w:numId="32">
    <w:abstractNumId w:val="12"/>
  </w:num>
  <w:num w:numId="33">
    <w:abstractNumId w:val="15"/>
  </w:num>
  <w:num w:numId="34">
    <w:abstractNumId w:val="29"/>
  </w:num>
  <w:num w:numId="35">
    <w:abstractNumId w:val="30"/>
  </w:num>
  <w:num w:numId="36">
    <w:abstractNumId w:val="11"/>
  </w:num>
  <w:num w:numId="37">
    <w:abstractNumId w:val="32"/>
  </w:num>
  <w:num w:numId="38">
    <w:abstractNumId w:val="35"/>
  </w:num>
  <w:num w:numId="39">
    <w:abstractNumId w:val="38"/>
  </w:num>
  <w:num w:numId="40">
    <w:abstractNumId w:val="28"/>
  </w:num>
  <w:num w:numId="41">
    <w:abstractNumId w:val="43"/>
  </w:num>
  <w:num w:numId="42">
    <w:abstractNumId w:val="40"/>
  </w:num>
  <w:num w:numId="43">
    <w:abstractNumId w:val="19"/>
  </w:num>
  <w:num w:numId="44">
    <w:abstractNumId w:val="22"/>
  </w:num>
  <w:num w:numId="45">
    <w:abstractNumId w:val="25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47"/>
    <w:rsid w:val="00020FE1"/>
    <w:rsid w:val="00050945"/>
    <w:rsid w:val="000561AC"/>
    <w:rsid w:val="00056316"/>
    <w:rsid w:val="000D2ABC"/>
    <w:rsid w:val="001017B6"/>
    <w:rsid w:val="00112E70"/>
    <w:rsid w:val="0011797F"/>
    <w:rsid w:val="00170D49"/>
    <w:rsid w:val="001723A8"/>
    <w:rsid w:val="001833E2"/>
    <w:rsid w:val="001A347D"/>
    <w:rsid w:val="001E1123"/>
    <w:rsid w:val="001E673C"/>
    <w:rsid w:val="0022706E"/>
    <w:rsid w:val="00283C0A"/>
    <w:rsid w:val="002A64A3"/>
    <w:rsid w:val="00322BA1"/>
    <w:rsid w:val="00332DA1"/>
    <w:rsid w:val="003468D5"/>
    <w:rsid w:val="00360664"/>
    <w:rsid w:val="003B14DC"/>
    <w:rsid w:val="003B6857"/>
    <w:rsid w:val="003C4A97"/>
    <w:rsid w:val="003D7742"/>
    <w:rsid w:val="00403021"/>
    <w:rsid w:val="00426C31"/>
    <w:rsid w:val="004416E8"/>
    <w:rsid w:val="004529B1"/>
    <w:rsid w:val="00484FFE"/>
    <w:rsid w:val="004862EB"/>
    <w:rsid w:val="004924C3"/>
    <w:rsid w:val="004A1260"/>
    <w:rsid w:val="004E262D"/>
    <w:rsid w:val="004F65BC"/>
    <w:rsid w:val="0053237E"/>
    <w:rsid w:val="00587F55"/>
    <w:rsid w:val="005C0F6A"/>
    <w:rsid w:val="005C3CCB"/>
    <w:rsid w:val="005D283D"/>
    <w:rsid w:val="005E1407"/>
    <w:rsid w:val="005E5107"/>
    <w:rsid w:val="005F6242"/>
    <w:rsid w:val="00624D2A"/>
    <w:rsid w:val="006259CD"/>
    <w:rsid w:val="0063065F"/>
    <w:rsid w:val="00680C65"/>
    <w:rsid w:val="00691C71"/>
    <w:rsid w:val="006B0326"/>
    <w:rsid w:val="006F6750"/>
    <w:rsid w:val="00702597"/>
    <w:rsid w:val="00712AEC"/>
    <w:rsid w:val="00744429"/>
    <w:rsid w:val="007550CD"/>
    <w:rsid w:val="00764E79"/>
    <w:rsid w:val="00794EF3"/>
    <w:rsid w:val="00796467"/>
    <w:rsid w:val="007B7E95"/>
    <w:rsid w:val="007C1684"/>
    <w:rsid w:val="007D59B7"/>
    <w:rsid w:val="00814827"/>
    <w:rsid w:val="0082251E"/>
    <w:rsid w:val="0083408B"/>
    <w:rsid w:val="008414CC"/>
    <w:rsid w:val="00841A47"/>
    <w:rsid w:val="008450C5"/>
    <w:rsid w:val="00852E03"/>
    <w:rsid w:val="0086264E"/>
    <w:rsid w:val="008A3515"/>
    <w:rsid w:val="008E30DD"/>
    <w:rsid w:val="008F5AB5"/>
    <w:rsid w:val="009178DD"/>
    <w:rsid w:val="00953EA7"/>
    <w:rsid w:val="00967FB9"/>
    <w:rsid w:val="009B3C1C"/>
    <w:rsid w:val="009F5442"/>
    <w:rsid w:val="00A125C5"/>
    <w:rsid w:val="00A40ABB"/>
    <w:rsid w:val="00A4553E"/>
    <w:rsid w:val="00A51EFC"/>
    <w:rsid w:val="00A63BE3"/>
    <w:rsid w:val="00A65E71"/>
    <w:rsid w:val="00A95647"/>
    <w:rsid w:val="00AB6AD6"/>
    <w:rsid w:val="00AC4C5F"/>
    <w:rsid w:val="00AE253C"/>
    <w:rsid w:val="00AE44B9"/>
    <w:rsid w:val="00B1365E"/>
    <w:rsid w:val="00B30349"/>
    <w:rsid w:val="00B343BB"/>
    <w:rsid w:val="00B45CB3"/>
    <w:rsid w:val="00B74FB8"/>
    <w:rsid w:val="00B84D08"/>
    <w:rsid w:val="00BA3D1C"/>
    <w:rsid w:val="00BA5D8A"/>
    <w:rsid w:val="00BC2309"/>
    <w:rsid w:val="00BD7850"/>
    <w:rsid w:val="00BE3C74"/>
    <w:rsid w:val="00C03157"/>
    <w:rsid w:val="00C2258F"/>
    <w:rsid w:val="00C3212D"/>
    <w:rsid w:val="00C321C1"/>
    <w:rsid w:val="00CB4775"/>
    <w:rsid w:val="00CC2702"/>
    <w:rsid w:val="00CE48F7"/>
    <w:rsid w:val="00D02436"/>
    <w:rsid w:val="00D14573"/>
    <w:rsid w:val="00D24056"/>
    <w:rsid w:val="00D60026"/>
    <w:rsid w:val="00D627F5"/>
    <w:rsid w:val="00D75734"/>
    <w:rsid w:val="00D8038B"/>
    <w:rsid w:val="00DA49FB"/>
    <w:rsid w:val="00DA6ACA"/>
    <w:rsid w:val="00DA77C9"/>
    <w:rsid w:val="00DC540F"/>
    <w:rsid w:val="00E04B8C"/>
    <w:rsid w:val="00E13B65"/>
    <w:rsid w:val="00E229FD"/>
    <w:rsid w:val="00E24E95"/>
    <w:rsid w:val="00E45EC8"/>
    <w:rsid w:val="00E52D23"/>
    <w:rsid w:val="00E54858"/>
    <w:rsid w:val="00E651C4"/>
    <w:rsid w:val="00E8214B"/>
    <w:rsid w:val="00E84C1F"/>
    <w:rsid w:val="00EB47C1"/>
    <w:rsid w:val="00EC0D88"/>
    <w:rsid w:val="00EC53DA"/>
    <w:rsid w:val="00EC6DD3"/>
    <w:rsid w:val="00ED10AB"/>
    <w:rsid w:val="00EE2D8A"/>
    <w:rsid w:val="00F00222"/>
    <w:rsid w:val="00F54F3E"/>
    <w:rsid w:val="00F6287D"/>
    <w:rsid w:val="00F8501E"/>
    <w:rsid w:val="00FA76A7"/>
    <w:rsid w:val="00F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167F1E8D"/>
  <w15:chartTrackingRefBased/>
  <w15:docId w15:val="{FECAAA86-AE3E-437A-B60B-4EF9A66D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550CD"/>
    <w:pPr>
      <w:spacing w:before="120" w:after="2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57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FFFF99" w:fill="auto"/>
      <w:spacing w:before="480" w:after="600"/>
      <w:jc w:val="center"/>
      <w:outlineLvl w:val="0"/>
    </w:pPr>
    <w:rPr>
      <w:rFonts w:eastAsia="Times New Roman"/>
      <w:b/>
      <w:bCs/>
      <w:noProof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573"/>
    <w:pPr>
      <w:keepNext/>
      <w:keepLines/>
      <w:spacing w:before="360" w:after="240"/>
      <w:ind w:hanging="630"/>
      <w:outlineLvl w:val="1"/>
    </w:pPr>
    <w:rPr>
      <w:rFonts w:eastAsia="Times New Roman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065F"/>
    <w:pPr>
      <w:keepNext/>
      <w:keepLines/>
      <w:spacing w:before="200" w:after="240" w:line="240" w:lineRule="auto"/>
      <w:outlineLvl w:val="2"/>
    </w:pPr>
    <w:rPr>
      <w:rFonts w:eastAsia="Times New Roman" w:cs="Arial"/>
      <w:b/>
      <w:bCs/>
      <w:color w:val="2F4B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2DA1"/>
    <w:pPr>
      <w:spacing w:before="200" w:after="240"/>
      <w:outlineLvl w:val="3"/>
    </w:pPr>
    <w:rPr>
      <w:i/>
      <w:color w:val="123D8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4573"/>
    <w:rPr>
      <w:rFonts w:ascii="Arial" w:eastAsia="Times New Roman" w:hAnsi="Arial"/>
      <w:b/>
      <w:bCs/>
      <w:noProof/>
      <w:sz w:val="32"/>
      <w:szCs w:val="28"/>
      <w:shd w:val="clear" w:color="FFFF99" w:fill="auto"/>
    </w:rPr>
  </w:style>
  <w:style w:type="character" w:customStyle="1" w:styleId="Heading2Char">
    <w:name w:val="Heading 2 Char"/>
    <w:link w:val="Heading2"/>
    <w:uiPriority w:val="9"/>
    <w:rsid w:val="00D14573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63065F"/>
    <w:rPr>
      <w:rFonts w:ascii="Arial" w:eastAsia="Times New Roman" w:hAnsi="Arial" w:cs="Arial"/>
      <w:b/>
      <w:bCs/>
      <w:color w:val="2F4B99"/>
      <w:sz w:val="24"/>
      <w:szCs w:val="24"/>
    </w:rPr>
  </w:style>
  <w:style w:type="character" w:customStyle="1" w:styleId="Heading4Char">
    <w:name w:val="Heading 4 Char"/>
    <w:link w:val="Heading4"/>
    <w:uiPriority w:val="9"/>
    <w:rsid w:val="00332DA1"/>
    <w:rPr>
      <w:rFonts w:ascii="Arial" w:hAnsi="Arial"/>
      <w:i/>
      <w:color w:val="123D84"/>
      <w:sz w:val="22"/>
      <w:szCs w:val="22"/>
    </w:rPr>
  </w:style>
  <w:style w:type="character" w:styleId="Emphasis">
    <w:name w:val="Emphasis"/>
    <w:qFormat/>
    <w:rsid w:val="00A95647"/>
  </w:style>
  <w:style w:type="paragraph" w:customStyle="1" w:styleId="Normalblack">
    <w:name w:val="Normal black"/>
    <w:basedOn w:val="Normal"/>
    <w:link w:val="NormalblackChar"/>
    <w:rsid w:val="00A95647"/>
    <w:pPr>
      <w:spacing w:before="360" w:after="360"/>
      <w:ind w:left="360"/>
    </w:pPr>
    <w:rPr>
      <w:rFonts w:eastAsia="Times New Roman" w:cs="Arial"/>
      <w:color w:val="000080"/>
    </w:rPr>
  </w:style>
  <w:style w:type="character" w:customStyle="1" w:styleId="NormalblackChar">
    <w:name w:val="Normal black Char"/>
    <w:link w:val="Normalblack"/>
    <w:rsid w:val="00A95647"/>
    <w:rPr>
      <w:rFonts w:ascii="Arial" w:eastAsia="Times New Roman" w:hAnsi="Arial" w:cs="Arial"/>
      <w:color w:val="000080"/>
    </w:rPr>
  </w:style>
  <w:style w:type="character" w:styleId="Hyperlink">
    <w:name w:val="Hyperlink"/>
    <w:uiPriority w:val="99"/>
    <w:unhideWhenUsed/>
    <w:rsid w:val="00A956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646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D7850"/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C0F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0F6A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0F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0F6A"/>
    <w:rPr>
      <w:rFonts w:ascii="Arial" w:hAnsi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E229FD"/>
    <w:rPr>
      <w:rFonts w:ascii="Arial" w:hAnsi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9F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29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073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HealthNutritionFairTemplate</vt:lpstr>
    </vt:vector>
  </TitlesOfParts>
  <Manager/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HealthNutritionFairTemplate</dc:title>
  <dc:subject/>
  <dc:creator>DeLeon Joseph</dc:creator>
  <cp:keywords/>
  <cp:lastModifiedBy>Clardy,Jonell (HHSC/DSHS)</cp:lastModifiedBy>
  <cp:revision>3</cp:revision>
  <cp:lastPrinted>2010-09-15T19:59:00Z</cp:lastPrinted>
  <dcterms:created xsi:type="dcterms:W3CDTF">2019-02-27T19:28:00Z</dcterms:created>
  <dcterms:modified xsi:type="dcterms:W3CDTF">2019-02-27T19:35:00Z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DownloadAsset.aspx?id=8589976677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2013-04-30T13:29:20Z</vt:filetime>
  </property>
  <property fmtid="{D5CDD505-2E9C-101B-9397-08002B2CF9AE}" pid="10" name="EktDateModified">
    <vt:filetime>2013-04-30T13:29:23Z</vt:filetime>
  </property>
  <property fmtid="{D5CDD505-2E9C-101B-9397-08002B2CF9AE}" pid="11" name="EktTaxCategory">
    <vt:lpwstr/>
  </property>
  <property fmtid="{D5CDD505-2E9C-101B-9397-08002B2CF9AE}" pid="12" name="EktCmsSize">
    <vt:i4>64512</vt:i4>
  </property>
  <property fmtid="{D5CDD505-2E9C-101B-9397-08002B2CF9AE}" pid="13" name="EktSearchable">
    <vt:i4>1</vt:i4>
  </property>
  <property fmtid="{D5CDD505-2E9C-101B-9397-08002B2CF9AE}" pid="14" name="EktEDescription">
    <vt:lpwstr>&amp;lt;p&amp;gt;[Nutrition Education, Health, Breastfeeding] Fair Template  00-000-00, FAIR:  Lesson Title Here  Client-centered nutrition education uses methods like group discussions and hands-on activities to engage participants in learning. While CCNE group </vt:lpwstr>
  </property>
</Properties>
</file>