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435C" w14:textId="2B4F5BD5" w:rsidR="004A7429" w:rsidRDefault="004A7429" w:rsidP="00B235DF">
      <w:pPr>
        <w:pStyle w:val="TOC1"/>
        <w:rPr>
          <w:rFonts w:eastAsiaTheme="minorEastAsia"/>
          <w:noProof/>
          <w:sz w:val="22"/>
          <w:szCs w:val="22"/>
        </w:rPr>
      </w:pPr>
      <w:r>
        <w:fldChar w:fldCharType="begin"/>
      </w:r>
      <w:r>
        <w:instrText xml:space="preserve"> TOC \o "1-3" \h \z \u </w:instrText>
      </w:r>
      <w:r>
        <w:fldChar w:fldCharType="separate"/>
      </w:r>
      <w:hyperlink w:anchor="_Toc134117471" w:history="1">
        <w:r w:rsidRPr="00B85C1B">
          <w:rPr>
            <w:rStyle w:val="Hyperlink"/>
            <w:noProof/>
            <w:kern w:val="24"/>
          </w:rPr>
          <w:t>I.</w:t>
        </w:r>
        <w:r>
          <w:rPr>
            <w:rFonts w:eastAsiaTheme="minorEastAsia"/>
            <w:noProof/>
            <w:sz w:val="22"/>
            <w:szCs w:val="22"/>
          </w:rPr>
          <w:tab/>
        </w:r>
        <w:r w:rsidRPr="00B85C1B">
          <w:rPr>
            <w:rStyle w:val="Hyperlink"/>
            <w:noProof/>
          </w:rPr>
          <w:t>At-Risk Measures</w:t>
        </w:r>
        <w:r>
          <w:rPr>
            <w:noProof/>
            <w:webHidden/>
          </w:rPr>
          <w:tab/>
        </w:r>
        <w:r>
          <w:rPr>
            <w:noProof/>
            <w:webHidden/>
          </w:rPr>
          <w:fldChar w:fldCharType="begin"/>
        </w:r>
        <w:r>
          <w:rPr>
            <w:noProof/>
            <w:webHidden/>
          </w:rPr>
          <w:instrText xml:space="preserve"> PAGEREF _Toc134117471 \h </w:instrText>
        </w:r>
        <w:r>
          <w:rPr>
            <w:noProof/>
            <w:webHidden/>
          </w:rPr>
        </w:r>
        <w:r>
          <w:rPr>
            <w:noProof/>
            <w:webHidden/>
          </w:rPr>
          <w:fldChar w:fldCharType="separate"/>
        </w:r>
        <w:r w:rsidR="00BE3E90">
          <w:rPr>
            <w:noProof/>
            <w:webHidden/>
          </w:rPr>
          <w:t>2</w:t>
        </w:r>
        <w:r>
          <w:rPr>
            <w:noProof/>
            <w:webHidden/>
          </w:rPr>
          <w:fldChar w:fldCharType="end"/>
        </w:r>
      </w:hyperlink>
    </w:p>
    <w:p w14:paraId="314F04C1" w14:textId="18A1C1B9" w:rsidR="004A7429" w:rsidRPr="00C72DF1" w:rsidRDefault="00000000" w:rsidP="00C72DF1">
      <w:pPr>
        <w:pStyle w:val="TOC2"/>
        <w:rPr>
          <w:rFonts w:eastAsiaTheme="minorEastAsia"/>
          <w:noProof/>
          <w:sz w:val="22"/>
          <w:szCs w:val="22"/>
        </w:rPr>
      </w:pPr>
      <w:hyperlink w:anchor="_Toc134117473" w:history="1">
        <w:r w:rsidR="004A7429" w:rsidRPr="00B235DF">
          <w:rPr>
            <w:rStyle w:val="Hyperlink"/>
            <w:bCs/>
            <w:i/>
            <w:iCs/>
            <w:noProof/>
          </w:rPr>
          <w:t>A.</w:t>
        </w:r>
        <w:r w:rsidR="004A7429" w:rsidRPr="00C72DF1">
          <w:rPr>
            <w:rFonts w:eastAsiaTheme="minorEastAsia"/>
            <w:noProof/>
            <w:sz w:val="22"/>
            <w:szCs w:val="22"/>
          </w:rPr>
          <w:tab/>
        </w:r>
        <w:r w:rsidR="004A7429" w:rsidRPr="00B235DF">
          <w:rPr>
            <w:rStyle w:val="Hyperlink"/>
            <w:bCs/>
            <w:i/>
            <w:iCs/>
            <w:noProof/>
          </w:rPr>
          <w:t>Adult Improvement</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_Toc134117473 \h </w:instrText>
        </w:r>
        <w:r w:rsidR="004A7429" w:rsidRPr="00C72DF1">
          <w:rPr>
            <w:noProof/>
            <w:webHidden/>
          </w:rPr>
        </w:r>
        <w:r w:rsidR="004A7429" w:rsidRPr="00C72DF1">
          <w:rPr>
            <w:noProof/>
            <w:webHidden/>
          </w:rPr>
          <w:fldChar w:fldCharType="separate"/>
        </w:r>
        <w:r w:rsidR="00BE3E90">
          <w:rPr>
            <w:noProof/>
            <w:webHidden/>
          </w:rPr>
          <w:t>2</w:t>
        </w:r>
        <w:r w:rsidR="004A7429" w:rsidRPr="00C72DF1">
          <w:rPr>
            <w:noProof/>
            <w:webHidden/>
          </w:rPr>
          <w:fldChar w:fldCharType="end"/>
        </w:r>
      </w:hyperlink>
    </w:p>
    <w:p w14:paraId="3F761BE8" w14:textId="3A2AF272" w:rsidR="004A7429" w:rsidRPr="00C72DF1" w:rsidRDefault="00000000" w:rsidP="00C72DF1">
      <w:pPr>
        <w:pStyle w:val="TOC2"/>
        <w:rPr>
          <w:rFonts w:eastAsiaTheme="minorEastAsia"/>
          <w:noProof/>
          <w:sz w:val="22"/>
          <w:szCs w:val="22"/>
        </w:rPr>
      </w:pPr>
      <w:hyperlink w:anchor="_Toc134117488" w:history="1">
        <w:r w:rsidR="004A7429" w:rsidRPr="00B235DF">
          <w:rPr>
            <w:rStyle w:val="Hyperlink"/>
            <w:i/>
            <w:iCs/>
            <w:noProof/>
          </w:rPr>
          <w:t>B.</w:t>
        </w:r>
        <w:r w:rsidR="004A7429" w:rsidRPr="00C72DF1">
          <w:rPr>
            <w:rFonts w:eastAsiaTheme="minorEastAsia"/>
            <w:noProof/>
            <w:sz w:val="22"/>
            <w:szCs w:val="22"/>
          </w:rPr>
          <w:tab/>
        </w:r>
        <w:r w:rsidR="004A7429" w:rsidRPr="00B235DF">
          <w:rPr>
            <w:rStyle w:val="Hyperlink"/>
            <w:i/>
            <w:iCs/>
            <w:noProof/>
          </w:rPr>
          <w:t>Child Improvement</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_Toc134117488 \h </w:instrText>
        </w:r>
        <w:r w:rsidR="004A7429" w:rsidRPr="00C72DF1">
          <w:rPr>
            <w:noProof/>
            <w:webHidden/>
          </w:rPr>
        </w:r>
        <w:r w:rsidR="004A7429" w:rsidRPr="00C72DF1">
          <w:rPr>
            <w:noProof/>
            <w:webHidden/>
          </w:rPr>
          <w:fldChar w:fldCharType="separate"/>
        </w:r>
        <w:r w:rsidR="00BE3E90">
          <w:rPr>
            <w:noProof/>
            <w:webHidden/>
          </w:rPr>
          <w:t>2</w:t>
        </w:r>
        <w:r w:rsidR="004A7429" w:rsidRPr="00C72DF1">
          <w:rPr>
            <w:noProof/>
            <w:webHidden/>
          </w:rPr>
          <w:fldChar w:fldCharType="end"/>
        </w:r>
      </w:hyperlink>
    </w:p>
    <w:p w14:paraId="31196B2C" w14:textId="53C15092" w:rsidR="004A7429" w:rsidRPr="00C72DF1" w:rsidRDefault="00000000" w:rsidP="00C72DF1">
      <w:pPr>
        <w:pStyle w:val="TOC2"/>
        <w:rPr>
          <w:rFonts w:eastAsiaTheme="minorEastAsia"/>
          <w:noProof/>
          <w:sz w:val="22"/>
          <w:szCs w:val="22"/>
        </w:rPr>
      </w:pPr>
      <w:hyperlink w:anchor="_Toc134117502" w:history="1">
        <w:r w:rsidR="004A7429" w:rsidRPr="00B235DF">
          <w:rPr>
            <w:rStyle w:val="Hyperlink"/>
            <w:i/>
            <w:iCs/>
            <w:noProof/>
          </w:rPr>
          <w:t>C.</w:t>
        </w:r>
        <w:r w:rsidR="004A7429" w:rsidRPr="00C72DF1">
          <w:rPr>
            <w:rFonts w:eastAsiaTheme="minorEastAsia"/>
            <w:noProof/>
            <w:sz w:val="22"/>
            <w:szCs w:val="22"/>
          </w:rPr>
          <w:tab/>
        </w:r>
        <w:r w:rsidR="004A7429" w:rsidRPr="00B235DF">
          <w:rPr>
            <w:rStyle w:val="Hyperlink"/>
            <w:i/>
            <w:iCs/>
            <w:noProof/>
          </w:rPr>
          <w:t>School Performance</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_Toc134117502 \h </w:instrText>
        </w:r>
        <w:r w:rsidR="004A7429" w:rsidRPr="00C72DF1">
          <w:rPr>
            <w:noProof/>
            <w:webHidden/>
          </w:rPr>
        </w:r>
        <w:r w:rsidR="004A7429" w:rsidRPr="00C72DF1">
          <w:rPr>
            <w:noProof/>
            <w:webHidden/>
          </w:rPr>
          <w:fldChar w:fldCharType="separate"/>
        </w:r>
        <w:r w:rsidR="00BE3E90">
          <w:rPr>
            <w:noProof/>
            <w:webHidden/>
          </w:rPr>
          <w:t>3</w:t>
        </w:r>
        <w:r w:rsidR="004A7429" w:rsidRPr="00C72DF1">
          <w:rPr>
            <w:noProof/>
            <w:webHidden/>
          </w:rPr>
          <w:fldChar w:fldCharType="end"/>
        </w:r>
      </w:hyperlink>
    </w:p>
    <w:p w14:paraId="3731534C" w14:textId="4A5C7E9B" w:rsidR="004A7429" w:rsidRPr="00C72DF1" w:rsidRDefault="00000000" w:rsidP="00C72DF1">
      <w:pPr>
        <w:pStyle w:val="TOC2"/>
        <w:rPr>
          <w:rFonts w:eastAsiaTheme="minorEastAsia"/>
          <w:noProof/>
          <w:sz w:val="22"/>
          <w:szCs w:val="22"/>
        </w:rPr>
      </w:pPr>
      <w:hyperlink w:anchor="_Toc134117503" w:history="1">
        <w:r w:rsidR="004A7429" w:rsidRPr="00B235DF">
          <w:rPr>
            <w:rStyle w:val="Hyperlink"/>
            <w:i/>
            <w:iCs/>
            <w:noProof/>
          </w:rPr>
          <w:t>D.</w:t>
        </w:r>
        <w:r w:rsidR="004A7429" w:rsidRPr="00C72DF1">
          <w:rPr>
            <w:rFonts w:eastAsiaTheme="minorEastAsia"/>
            <w:noProof/>
            <w:sz w:val="22"/>
            <w:szCs w:val="22"/>
          </w:rPr>
          <w:tab/>
        </w:r>
        <w:r w:rsidR="004A7429" w:rsidRPr="00B235DF">
          <w:rPr>
            <w:rStyle w:val="Hyperlink"/>
            <w:i/>
            <w:iCs/>
            <w:noProof/>
          </w:rPr>
          <w:t>Community Tenure</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_Toc134117503 \h </w:instrText>
        </w:r>
        <w:r w:rsidR="004A7429" w:rsidRPr="00C72DF1">
          <w:rPr>
            <w:noProof/>
            <w:webHidden/>
          </w:rPr>
        </w:r>
        <w:r w:rsidR="004A7429" w:rsidRPr="00C72DF1">
          <w:rPr>
            <w:noProof/>
            <w:webHidden/>
          </w:rPr>
          <w:fldChar w:fldCharType="separate"/>
        </w:r>
        <w:r w:rsidR="00BE3E90">
          <w:rPr>
            <w:noProof/>
            <w:webHidden/>
          </w:rPr>
          <w:t>3</w:t>
        </w:r>
        <w:r w:rsidR="004A7429" w:rsidRPr="00C72DF1">
          <w:rPr>
            <w:noProof/>
            <w:webHidden/>
          </w:rPr>
          <w:fldChar w:fldCharType="end"/>
        </w:r>
      </w:hyperlink>
    </w:p>
    <w:p w14:paraId="7A555C0E" w14:textId="01D2FE13" w:rsidR="004A7429" w:rsidRPr="00C72DF1" w:rsidRDefault="00000000" w:rsidP="00C72DF1">
      <w:pPr>
        <w:pStyle w:val="TOC2"/>
        <w:rPr>
          <w:rFonts w:eastAsiaTheme="minorEastAsia"/>
          <w:noProof/>
          <w:sz w:val="22"/>
          <w:szCs w:val="22"/>
        </w:rPr>
      </w:pPr>
      <w:hyperlink w:anchor="_Toc134117504" w:history="1">
        <w:r w:rsidR="004A7429" w:rsidRPr="00B235DF">
          <w:rPr>
            <w:rStyle w:val="Hyperlink"/>
            <w:i/>
            <w:iCs/>
            <w:noProof/>
          </w:rPr>
          <w:t>E.</w:t>
        </w:r>
        <w:r w:rsidR="004A7429" w:rsidRPr="00C72DF1">
          <w:rPr>
            <w:rFonts w:eastAsiaTheme="minorEastAsia"/>
            <w:noProof/>
            <w:sz w:val="22"/>
            <w:szCs w:val="22"/>
          </w:rPr>
          <w:tab/>
        </w:r>
        <w:r w:rsidR="004A7429" w:rsidRPr="00B235DF">
          <w:rPr>
            <w:rStyle w:val="Hyperlink"/>
            <w:i/>
            <w:iCs/>
            <w:noProof/>
          </w:rPr>
          <w:t>Effective Crisis Response</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_Toc134117504 \h </w:instrText>
        </w:r>
        <w:r w:rsidR="004A7429" w:rsidRPr="00C72DF1">
          <w:rPr>
            <w:noProof/>
            <w:webHidden/>
          </w:rPr>
        </w:r>
        <w:r w:rsidR="004A7429" w:rsidRPr="00C72DF1">
          <w:rPr>
            <w:noProof/>
            <w:webHidden/>
          </w:rPr>
          <w:fldChar w:fldCharType="separate"/>
        </w:r>
        <w:r w:rsidR="00BE3E90">
          <w:rPr>
            <w:noProof/>
            <w:webHidden/>
          </w:rPr>
          <w:t>4</w:t>
        </w:r>
        <w:r w:rsidR="004A7429" w:rsidRPr="00C72DF1">
          <w:rPr>
            <w:noProof/>
            <w:webHidden/>
          </w:rPr>
          <w:fldChar w:fldCharType="end"/>
        </w:r>
      </w:hyperlink>
    </w:p>
    <w:p w14:paraId="37B96FEF" w14:textId="721AE30B" w:rsidR="004A7429" w:rsidRPr="00C72DF1" w:rsidRDefault="00000000" w:rsidP="00C72DF1">
      <w:pPr>
        <w:pStyle w:val="TOC2"/>
        <w:rPr>
          <w:rFonts w:eastAsiaTheme="minorEastAsia"/>
          <w:noProof/>
          <w:sz w:val="22"/>
          <w:szCs w:val="22"/>
        </w:rPr>
      </w:pPr>
      <w:hyperlink w:anchor="_Toc134117544" w:history="1">
        <w:r w:rsidR="004A7429" w:rsidRPr="00B235DF">
          <w:rPr>
            <w:rStyle w:val="Hyperlink"/>
            <w:i/>
            <w:iCs/>
            <w:noProof/>
          </w:rPr>
          <w:t>F.</w:t>
        </w:r>
        <w:r w:rsidR="004A7429" w:rsidRPr="00C72DF1">
          <w:rPr>
            <w:rFonts w:eastAsiaTheme="minorEastAsia"/>
            <w:noProof/>
            <w:sz w:val="22"/>
            <w:szCs w:val="22"/>
          </w:rPr>
          <w:tab/>
        </w:r>
        <w:r w:rsidR="004A7429" w:rsidRPr="00B235DF">
          <w:rPr>
            <w:rStyle w:val="Hyperlink"/>
            <w:i/>
            <w:iCs/>
            <w:noProof/>
          </w:rPr>
          <w:t>Hospital 7–Day  Follow–up (Encounter-Based)</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_Toc134117544 \h </w:instrText>
        </w:r>
        <w:r w:rsidR="004A7429" w:rsidRPr="00C72DF1">
          <w:rPr>
            <w:noProof/>
            <w:webHidden/>
          </w:rPr>
        </w:r>
        <w:r w:rsidR="004A7429" w:rsidRPr="00C72DF1">
          <w:rPr>
            <w:noProof/>
            <w:webHidden/>
          </w:rPr>
          <w:fldChar w:fldCharType="separate"/>
        </w:r>
        <w:r w:rsidR="00BE3E90">
          <w:rPr>
            <w:noProof/>
            <w:webHidden/>
          </w:rPr>
          <w:t>4</w:t>
        </w:r>
        <w:r w:rsidR="004A7429" w:rsidRPr="00C72DF1">
          <w:rPr>
            <w:noProof/>
            <w:webHidden/>
          </w:rPr>
          <w:fldChar w:fldCharType="end"/>
        </w:r>
      </w:hyperlink>
    </w:p>
    <w:p w14:paraId="6007FE90" w14:textId="678A989F" w:rsidR="004A7429" w:rsidRPr="00C72DF1" w:rsidRDefault="00000000" w:rsidP="00C72DF1">
      <w:pPr>
        <w:pStyle w:val="TOC2"/>
        <w:rPr>
          <w:rFonts w:eastAsiaTheme="minorEastAsia"/>
          <w:noProof/>
          <w:sz w:val="22"/>
          <w:szCs w:val="22"/>
        </w:rPr>
      </w:pPr>
      <w:hyperlink w:anchor="_Toc134117545" w:history="1">
        <w:r w:rsidR="004A7429" w:rsidRPr="00B235DF">
          <w:rPr>
            <w:rStyle w:val="Hyperlink"/>
            <w:i/>
            <w:iCs/>
            <w:noProof/>
          </w:rPr>
          <w:t>G.</w:t>
        </w:r>
        <w:r w:rsidR="004A7429" w:rsidRPr="00C72DF1">
          <w:rPr>
            <w:rFonts w:eastAsiaTheme="minorEastAsia"/>
            <w:noProof/>
            <w:sz w:val="22"/>
            <w:szCs w:val="22"/>
          </w:rPr>
          <w:tab/>
        </w:r>
        <w:r w:rsidR="004A7429" w:rsidRPr="00B235DF">
          <w:rPr>
            <w:rStyle w:val="Hyperlink"/>
            <w:i/>
            <w:iCs/>
            <w:noProof/>
          </w:rPr>
          <w:t>Crisis 7–Day Follow–up</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_Toc134117545 \h </w:instrText>
        </w:r>
        <w:r w:rsidR="004A7429" w:rsidRPr="00C72DF1">
          <w:rPr>
            <w:noProof/>
            <w:webHidden/>
          </w:rPr>
        </w:r>
        <w:r w:rsidR="004A7429" w:rsidRPr="00C72DF1">
          <w:rPr>
            <w:noProof/>
            <w:webHidden/>
          </w:rPr>
          <w:fldChar w:fldCharType="separate"/>
        </w:r>
        <w:r w:rsidR="00BE3E90">
          <w:rPr>
            <w:noProof/>
            <w:webHidden/>
          </w:rPr>
          <w:t>5</w:t>
        </w:r>
        <w:r w:rsidR="004A7429" w:rsidRPr="00C72DF1">
          <w:rPr>
            <w:noProof/>
            <w:webHidden/>
          </w:rPr>
          <w:fldChar w:fldCharType="end"/>
        </w:r>
      </w:hyperlink>
    </w:p>
    <w:p w14:paraId="2DBDB2E1" w14:textId="7078A7BE" w:rsidR="004A7429" w:rsidRDefault="00000000" w:rsidP="00B235DF">
      <w:pPr>
        <w:pStyle w:val="TOC1"/>
        <w:rPr>
          <w:rFonts w:eastAsiaTheme="minorEastAsia"/>
          <w:noProof/>
          <w:sz w:val="22"/>
          <w:szCs w:val="22"/>
        </w:rPr>
      </w:pPr>
      <w:hyperlink w:anchor="_Toc134117546" w:history="1">
        <w:r w:rsidR="004A7429" w:rsidRPr="00B85C1B">
          <w:rPr>
            <w:rStyle w:val="Hyperlink"/>
            <w:noProof/>
            <w:kern w:val="24"/>
          </w:rPr>
          <w:t>II.</w:t>
        </w:r>
        <w:r w:rsidR="004A7429">
          <w:rPr>
            <w:rFonts w:eastAsiaTheme="minorEastAsia"/>
            <w:noProof/>
            <w:sz w:val="22"/>
            <w:szCs w:val="22"/>
          </w:rPr>
          <w:tab/>
        </w:r>
        <w:r w:rsidR="004A7429" w:rsidRPr="00B85C1B">
          <w:rPr>
            <w:rStyle w:val="Hyperlink"/>
            <w:noProof/>
          </w:rPr>
          <w:t>Adult Services</w:t>
        </w:r>
        <w:r w:rsidR="004A7429">
          <w:rPr>
            <w:noProof/>
            <w:webHidden/>
          </w:rPr>
          <w:tab/>
        </w:r>
        <w:r w:rsidR="004A7429">
          <w:rPr>
            <w:noProof/>
            <w:webHidden/>
          </w:rPr>
          <w:fldChar w:fldCharType="begin"/>
        </w:r>
        <w:r w:rsidR="004A7429">
          <w:rPr>
            <w:noProof/>
            <w:webHidden/>
          </w:rPr>
          <w:instrText xml:space="preserve"> PAGEREF _Toc134117546 \h </w:instrText>
        </w:r>
        <w:r w:rsidR="004A7429">
          <w:rPr>
            <w:noProof/>
            <w:webHidden/>
          </w:rPr>
        </w:r>
        <w:r w:rsidR="004A7429">
          <w:rPr>
            <w:noProof/>
            <w:webHidden/>
          </w:rPr>
          <w:fldChar w:fldCharType="separate"/>
        </w:r>
        <w:r w:rsidR="00BE3E90">
          <w:rPr>
            <w:noProof/>
            <w:webHidden/>
          </w:rPr>
          <w:t>6</w:t>
        </w:r>
        <w:r w:rsidR="004A7429">
          <w:rPr>
            <w:noProof/>
            <w:webHidden/>
          </w:rPr>
          <w:fldChar w:fldCharType="end"/>
        </w:r>
      </w:hyperlink>
    </w:p>
    <w:p w14:paraId="61843009" w14:textId="1A090EEE" w:rsidR="004A7429" w:rsidRPr="00C72DF1" w:rsidRDefault="00000000" w:rsidP="00C72DF1">
      <w:pPr>
        <w:pStyle w:val="TOC2"/>
        <w:rPr>
          <w:rFonts w:eastAsiaTheme="minorEastAsia"/>
          <w:noProof/>
          <w:sz w:val="22"/>
          <w:szCs w:val="22"/>
        </w:rPr>
      </w:pPr>
      <w:hyperlink w:anchor="_Toc134117547" w:history="1">
        <w:r w:rsidR="004A7429" w:rsidRPr="00B235DF">
          <w:rPr>
            <w:rStyle w:val="Hyperlink"/>
            <w:i/>
            <w:iCs/>
            <w:noProof/>
          </w:rPr>
          <w:t>A.</w:t>
        </w:r>
        <w:r w:rsidR="004A7429" w:rsidRPr="00C72DF1">
          <w:rPr>
            <w:rFonts w:eastAsiaTheme="minorEastAsia"/>
            <w:noProof/>
            <w:sz w:val="22"/>
            <w:szCs w:val="22"/>
          </w:rPr>
          <w:tab/>
        </w:r>
        <w:r w:rsidR="004A7429" w:rsidRPr="00B235DF">
          <w:rPr>
            <w:rStyle w:val="Hyperlink"/>
            <w:i/>
            <w:iCs/>
            <w:noProof/>
          </w:rPr>
          <w:t>Adult Monthly Service Provision</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_Toc134117547 \h </w:instrText>
        </w:r>
        <w:r w:rsidR="004A7429" w:rsidRPr="00C72DF1">
          <w:rPr>
            <w:noProof/>
            <w:webHidden/>
          </w:rPr>
        </w:r>
        <w:r w:rsidR="004A7429" w:rsidRPr="00C72DF1">
          <w:rPr>
            <w:noProof/>
            <w:webHidden/>
          </w:rPr>
          <w:fldChar w:fldCharType="separate"/>
        </w:r>
        <w:r w:rsidR="00BE3E90">
          <w:rPr>
            <w:noProof/>
            <w:webHidden/>
          </w:rPr>
          <w:t>6</w:t>
        </w:r>
        <w:r w:rsidR="004A7429" w:rsidRPr="00C72DF1">
          <w:rPr>
            <w:noProof/>
            <w:webHidden/>
          </w:rPr>
          <w:fldChar w:fldCharType="end"/>
        </w:r>
      </w:hyperlink>
    </w:p>
    <w:p w14:paraId="2733C25B" w14:textId="3C72AAD1" w:rsidR="004A7429" w:rsidRPr="00C72DF1" w:rsidRDefault="00000000" w:rsidP="00C72DF1">
      <w:pPr>
        <w:pStyle w:val="TOC2"/>
        <w:rPr>
          <w:rFonts w:eastAsiaTheme="minorEastAsia"/>
          <w:noProof/>
          <w:sz w:val="22"/>
          <w:szCs w:val="22"/>
        </w:rPr>
      </w:pPr>
      <w:hyperlink w:anchor="_Toc134117548" w:history="1">
        <w:r w:rsidR="004A7429" w:rsidRPr="00B235DF">
          <w:rPr>
            <w:rStyle w:val="Hyperlink"/>
            <w:i/>
            <w:iCs/>
            <w:noProof/>
          </w:rPr>
          <w:t>B.</w:t>
        </w:r>
        <w:r w:rsidR="004A7429" w:rsidRPr="00C72DF1">
          <w:rPr>
            <w:rFonts w:eastAsiaTheme="minorEastAsia"/>
            <w:noProof/>
            <w:sz w:val="22"/>
            <w:szCs w:val="22"/>
          </w:rPr>
          <w:tab/>
        </w:r>
        <w:r w:rsidR="004A7429" w:rsidRPr="00B235DF">
          <w:rPr>
            <w:rStyle w:val="Hyperlink"/>
            <w:i/>
            <w:iCs/>
            <w:noProof/>
          </w:rPr>
          <w:t>Adult Service Target</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_Toc134117548 \h </w:instrText>
        </w:r>
        <w:r w:rsidR="004A7429" w:rsidRPr="00C72DF1">
          <w:rPr>
            <w:noProof/>
            <w:webHidden/>
          </w:rPr>
        </w:r>
        <w:r w:rsidR="004A7429" w:rsidRPr="00C72DF1">
          <w:rPr>
            <w:noProof/>
            <w:webHidden/>
          </w:rPr>
          <w:fldChar w:fldCharType="separate"/>
        </w:r>
        <w:r w:rsidR="00BE3E90">
          <w:rPr>
            <w:noProof/>
            <w:webHidden/>
          </w:rPr>
          <w:t>7</w:t>
        </w:r>
        <w:r w:rsidR="004A7429" w:rsidRPr="00C72DF1">
          <w:rPr>
            <w:noProof/>
            <w:webHidden/>
          </w:rPr>
          <w:fldChar w:fldCharType="end"/>
        </w:r>
      </w:hyperlink>
    </w:p>
    <w:p w14:paraId="07B3E4EB" w14:textId="7AF93731" w:rsidR="004A7429" w:rsidRPr="00C72DF1" w:rsidRDefault="00000000" w:rsidP="00C72DF1">
      <w:pPr>
        <w:pStyle w:val="TOC2"/>
        <w:rPr>
          <w:rFonts w:eastAsiaTheme="minorEastAsia"/>
          <w:noProof/>
          <w:sz w:val="22"/>
          <w:szCs w:val="22"/>
        </w:rPr>
      </w:pPr>
      <w:hyperlink w:anchor="_Toc134117557" w:history="1">
        <w:r w:rsidR="004A7429" w:rsidRPr="00B235DF">
          <w:rPr>
            <w:rStyle w:val="Hyperlink"/>
            <w:i/>
            <w:iCs/>
            <w:noProof/>
          </w:rPr>
          <w:t>C.</w:t>
        </w:r>
        <w:r w:rsidR="004A7429" w:rsidRPr="00C72DF1">
          <w:rPr>
            <w:rFonts w:eastAsiaTheme="minorEastAsia"/>
            <w:noProof/>
            <w:sz w:val="22"/>
            <w:szCs w:val="22"/>
          </w:rPr>
          <w:tab/>
        </w:r>
        <w:r w:rsidR="004A7429" w:rsidRPr="00B235DF">
          <w:rPr>
            <w:rStyle w:val="Hyperlink"/>
            <w:i/>
            <w:iCs/>
            <w:noProof/>
          </w:rPr>
          <w:t>ACT Authorization Target</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_Toc134117557 \h </w:instrText>
        </w:r>
        <w:r w:rsidR="004A7429" w:rsidRPr="00C72DF1">
          <w:rPr>
            <w:noProof/>
            <w:webHidden/>
          </w:rPr>
        </w:r>
        <w:r w:rsidR="004A7429" w:rsidRPr="00C72DF1">
          <w:rPr>
            <w:noProof/>
            <w:webHidden/>
          </w:rPr>
          <w:fldChar w:fldCharType="separate"/>
        </w:r>
        <w:r w:rsidR="00BE3E90">
          <w:rPr>
            <w:noProof/>
            <w:webHidden/>
          </w:rPr>
          <w:t>7</w:t>
        </w:r>
        <w:r w:rsidR="004A7429" w:rsidRPr="00C72DF1">
          <w:rPr>
            <w:noProof/>
            <w:webHidden/>
          </w:rPr>
          <w:fldChar w:fldCharType="end"/>
        </w:r>
      </w:hyperlink>
    </w:p>
    <w:p w14:paraId="1B61C644" w14:textId="0B15BBB2" w:rsidR="004A7429" w:rsidRPr="00C72DF1" w:rsidRDefault="00000000" w:rsidP="00C72DF1">
      <w:pPr>
        <w:pStyle w:val="TOC2"/>
        <w:rPr>
          <w:rFonts w:eastAsiaTheme="minorEastAsia"/>
          <w:noProof/>
          <w:sz w:val="22"/>
          <w:szCs w:val="22"/>
        </w:rPr>
      </w:pPr>
      <w:hyperlink w:anchor="_Toc134117558" w:history="1">
        <w:r w:rsidR="004A7429" w:rsidRPr="00B235DF">
          <w:rPr>
            <w:rStyle w:val="Hyperlink"/>
            <w:i/>
            <w:iCs/>
            <w:noProof/>
          </w:rPr>
          <w:t>D.</w:t>
        </w:r>
        <w:r w:rsidR="004A7429" w:rsidRPr="00C72DF1">
          <w:rPr>
            <w:rFonts w:eastAsiaTheme="minorEastAsia"/>
            <w:noProof/>
            <w:sz w:val="22"/>
            <w:szCs w:val="22"/>
          </w:rPr>
          <w:tab/>
        </w:r>
        <w:r w:rsidR="004A7429" w:rsidRPr="00B235DF">
          <w:rPr>
            <w:rStyle w:val="Hyperlink"/>
            <w:i/>
            <w:iCs/>
            <w:noProof/>
          </w:rPr>
          <w:t>Depression Response at Six Months</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_Toc134117558 \h </w:instrText>
        </w:r>
        <w:r w:rsidR="004A7429" w:rsidRPr="00C72DF1">
          <w:rPr>
            <w:noProof/>
            <w:webHidden/>
          </w:rPr>
        </w:r>
        <w:r w:rsidR="004A7429" w:rsidRPr="00C72DF1">
          <w:rPr>
            <w:noProof/>
            <w:webHidden/>
          </w:rPr>
          <w:fldChar w:fldCharType="separate"/>
        </w:r>
        <w:r w:rsidR="00BE3E90">
          <w:rPr>
            <w:noProof/>
            <w:webHidden/>
          </w:rPr>
          <w:t>7</w:t>
        </w:r>
        <w:r w:rsidR="004A7429" w:rsidRPr="00C72DF1">
          <w:rPr>
            <w:noProof/>
            <w:webHidden/>
          </w:rPr>
          <w:fldChar w:fldCharType="end"/>
        </w:r>
      </w:hyperlink>
    </w:p>
    <w:p w14:paraId="10FFEFB4" w14:textId="1756EBE1" w:rsidR="004A7429" w:rsidRPr="00C72DF1" w:rsidRDefault="00000000" w:rsidP="00C72DF1">
      <w:pPr>
        <w:pStyle w:val="TOC2"/>
        <w:rPr>
          <w:rFonts w:eastAsiaTheme="minorEastAsia"/>
          <w:noProof/>
          <w:sz w:val="22"/>
          <w:szCs w:val="22"/>
        </w:rPr>
      </w:pPr>
      <w:hyperlink w:anchor="_Toc134117559" w:history="1">
        <w:r w:rsidR="004A7429" w:rsidRPr="00B235DF">
          <w:rPr>
            <w:rStyle w:val="Hyperlink"/>
            <w:i/>
            <w:iCs/>
            <w:noProof/>
          </w:rPr>
          <w:t>E.</w:t>
        </w:r>
        <w:r w:rsidR="004A7429" w:rsidRPr="00C72DF1">
          <w:rPr>
            <w:rFonts w:eastAsiaTheme="minorEastAsia"/>
            <w:noProof/>
            <w:sz w:val="22"/>
            <w:szCs w:val="22"/>
          </w:rPr>
          <w:tab/>
        </w:r>
        <w:r w:rsidR="004A7429" w:rsidRPr="00B235DF">
          <w:rPr>
            <w:rStyle w:val="Hyperlink"/>
            <w:i/>
            <w:iCs/>
            <w:noProof/>
          </w:rPr>
          <w:t>Employment Functioning</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_Toc134117559 \h </w:instrText>
        </w:r>
        <w:r w:rsidR="004A7429" w:rsidRPr="00C72DF1">
          <w:rPr>
            <w:noProof/>
            <w:webHidden/>
          </w:rPr>
        </w:r>
        <w:r w:rsidR="004A7429" w:rsidRPr="00C72DF1">
          <w:rPr>
            <w:noProof/>
            <w:webHidden/>
          </w:rPr>
          <w:fldChar w:fldCharType="separate"/>
        </w:r>
        <w:r w:rsidR="00BE3E90">
          <w:rPr>
            <w:noProof/>
            <w:webHidden/>
          </w:rPr>
          <w:t>8</w:t>
        </w:r>
        <w:r w:rsidR="004A7429" w:rsidRPr="00C72DF1">
          <w:rPr>
            <w:noProof/>
            <w:webHidden/>
          </w:rPr>
          <w:fldChar w:fldCharType="end"/>
        </w:r>
      </w:hyperlink>
    </w:p>
    <w:p w14:paraId="459B8D6E" w14:textId="33914625" w:rsidR="004A7429" w:rsidRPr="00C72DF1" w:rsidRDefault="00000000" w:rsidP="00C72DF1">
      <w:pPr>
        <w:pStyle w:val="TOC2"/>
        <w:rPr>
          <w:rFonts w:eastAsiaTheme="minorEastAsia"/>
          <w:noProof/>
          <w:sz w:val="22"/>
          <w:szCs w:val="22"/>
        </w:rPr>
      </w:pPr>
      <w:hyperlink w:anchor="_Toc134117560" w:history="1">
        <w:r w:rsidR="004A7429" w:rsidRPr="00B235DF">
          <w:rPr>
            <w:rStyle w:val="Hyperlink"/>
            <w:i/>
            <w:iCs/>
            <w:noProof/>
          </w:rPr>
          <w:t>F.</w:t>
        </w:r>
        <w:r w:rsidR="004A7429" w:rsidRPr="00C72DF1">
          <w:rPr>
            <w:rFonts w:eastAsiaTheme="minorEastAsia"/>
            <w:noProof/>
            <w:sz w:val="22"/>
            <w:szCs w:val="22"/>
          </w:rPr>
          <w:tab/>
        </w:r>
        <w:r w:rsidR="004A7429" w:rsidRPr="00B235DF">
          <w:rPr>
            <w:rStyle w:val="Hyperlink"/>
            <w:i/>
            <w:iCs/>
            <w:noProof/>
          </w:rPr>
          <w:t>Educational and Volunteering Strengths</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_Toc134117560 \h </w:instrText>
        </w:r>
        <w:r w:rsidR="004A7429" w:rsidRPr="00C72DF1">
          <w:rPr>
            <w:noProof/>
            <w:webHidden/>
          </w:rPr>
        </w:r>
        <w:r w:rsidR="004A7429" w:rsidRPr="00C72DF1">
          <w:rPr>
            <w:noProof/>
            <w:webHidden/>
          </w:rPr>
          <w:fldChar w:fldCharType="separate"/>
        </w:r>
        <w:r w:rsidR="00BE3E90">
          <w:rPr>
            <w:noProof/>
            <w:webHidden/>
          </w:rPr>
          <w:t>8</w:t>
        </w:r>
        <w:r w:rsidR="004A7429" w:rsidRPr="00C72DF1">
          <w:rPr>
            <w:noProof/>
            <w:webHidden/>
          </w:rPr>
          <w:fldChar w:fldCharType="end"/>
        </w:r>
      </w:hyperlink>
    </w:p>
    <w:p w14:paraId="7B8D81E9" w14:textId="203AE898" w:rsidR="004A7429" w:rsidRPr="00C72DF1" w:rsidRDefault="00000000" w:rsidP="00C72DF1">
      <w:pPr>
        <w:pStyle w:val="TOC2"/>
        <w:rPr>
          <w:rFonts w:eastAsiaTheme="minorEastAsia"/>
          <w:noProof/>
          <w:sz w:val="22"/>
          <w:szCs w:val="22"/>
        </w:rPr>
      </w:pPr>
      <w:hyperlink w:anchor="_Toc134117561" w:history="1">
        <w:r w:rsidR="004A7429" w:rsidRPr="00B235DF">
          <w:rPr>
            <w:rStyle w:val="Hyperlink"/>
            <w:i/>
            <w:iCs/>
            <w:noProof/>
          </w:rPr>
          <w:t>G.</w:t>
        </w:r>
        <w:r w:rsidR="004A7429" w:rsidRPr="00C72DF1">
          <w:rPr>
            <w:rFonts w:eastAsiaTheme="minorEastAsia"/>
            <w:noProof/>
            <w:sz w:val="22"/>
            <w:szCs w:val="22"/>
          </w:rPr>
          <w:tab/>
        </w:r>
        <w:r w:rsidR="004A7429" w:rsidRPr="00B235DF">
          <w:rPr>
            <w:rStyle w:val="Hyperlink"/>
            <w:i/>
            <w:iCs/>
            <w:noProof/>
          </w:rPr>
          <w:t>Residential Stability</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_Toc134117561 \h </w:instrText>
        </w:r>
        <w:r w:rsidR="004A7429" w:rsidRPr="00C72DF1">
          <w:rPr>
            <w:noProof/>
            <w:webHidden/>
          </w:rPr>
        </w:r>
        <w:r w:rsidR="004A7429" w:rsidRPr="00C72DF1">
          <w:rPr>
            <w:noProof/>
            <w:webHidden/>
          </w:rPr>
          <w:fldChar w:fldCharType="separate"/>
        </w:r>
        <w:r w:rsidR="00BE3E90">
          <w:rPr>
            <w:noProof/>
            <w:webHidden/>
          </w:rPr>
          <w:t>9</w:t>
        </w:r>
        <w:r w:rsidR="004A7429" w:rsidRPr="00C72DF1">
          <w:rPr>
            <w:noProof/>
            <w:webHidden/>
          </w:rPr>
          <w:fldChar w:fldCharType="end"/>
        </w:r>
      </w:hyperlink>
    </w:p>
    <w:p w14:paraId="7EBDB663" w14:textId="20BA20CD" w:rsidR="004A7429" w:rsidRPr="00C72DF1" w:rsidRDefault="00000000" w:rsidP="00C72DF1">
      <w:pPr>
        <w:pStyle w:val="TOC2"/>
        <w:rPr>
          <w:rFonts w:eastAsiaTheme="minorEastAsia"/>
          <w:noProof/>
          <w:sz w:val="22"/>
          <w:szCs w:val="22"/>
        </w:rPr>
      </w:pPr>
      <w:hyperlink w:anchor="_Toc134117562" w:history="1">
        <w:r w:rsidR="004A7429" w:rsidRPr="00B235DF">
          <w:rPr>
            <w:rStyle w:val="Hyperlink"/>
            <w:i/>
            <w:iCs/>
            <w:noProof/>
          </w:rPr>
          <w:t>H.</w:t>
        </w:r>
        <w:r w:rsidR="004A7429" w:rsidRPr="00C72DF1">
          <w:rPr>
            <w:rFonts w:eastAsiaTheme="minorEastAsia"/>
            <w:noProof/>
            <w:sz w:val="22"/>
            <w:szCs w:val="22"/>
          </w:rPr>
          <w:tab/>
        </w:r>
        <w:r w:rsidR="004A7429" w:rsidRPr="00B235DF">
          <w:rPr>
            <w:rStyle w:val="Hyperlink"/>
            <w:i/>
            <w:iCs/>
            <w:noProof/>
          </w:rPr>
          <w:t>TANF Transfer to Title XX Services</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_Toc134117562 \h </w:instrText>
        </w:r>
        <w:r w:rsidR="004A7429" w:rsidRPr="00C72DF1">
          <w:rPr>
            <w:noProof/>
            <w:webHidden/>
          </w:rPr>
        </w:r>
        <w:r w:rsidR="004A7429" w:rsidRPr="00C72DF1">
          <w:rPr>
            <w:noProof/>
            <w:webHidden/>
          </w:rPr>
          <w:fldChar w:fldCharType="separate"/>
        </w:r>
        <w:r w:rsidR="00BE3E90">
          <w:rPr>
            <w:noProof/>
            <w:webHidden/>
          </w:rPr>
          <w:t>9</w:t>
        </w:r>
        <w:r w:rsidR="004A7429" w:rsidRPr="00C72DF1">
          <w:rPr>
            <w:noProof/>
            <w:webHidden/>
          </w:rPr>
          <w:fldChar w:fldCharType="end"/>
        </w:r>
      </w:hyperlink>
    </w:p>
    <w:p w14:paraId="4F0ADFC9" w14:textId="6A201DFA" w:rsidR="004A7429" w:rsidRPr="00C72DF1" w:rsidRDefault="00000000" w:rsidP="00C72DF1">
      <w:pPr>
        <w:pStyle w:val="TOC2"/>
        <w:rPr>
          <w:rFonts w:eastAsiaTheme="minorEastAsia"/>
          <w:noProof/>
          <w:sz w:val="22"/>
          <w:szCs w:val="22"/>
        </w:rPr>
      </w:pPr>
      <w:hyperlink w:anchor="_Toc134117571" w:history="1">
        <w:r w:rsidR="004A7429" w:rsidRPr="00B235DF">
          <w:rPr>
            <w:rStyle w:val="Hyperlink"/>
            <w:i/>
            <w:iCs/>
            <w:noProof/>
          </w:rPr>
          <w:t>I.</w:t>
        </w:r>
        <w:r w:rsidR="004A7429" w:rsidRPr="00C72DF1">
          <w:rPr>
            <w:rFonts w:eastAsiaTheme="minorEastAsia"/>
            <w:noProof/>
            <w:sz w:val="22"/>
            <w:szCs w:val="22"/>
          </w:rPr>
          <w:tab/>
        </w:r>
        <w:r w:rsidR="004A7429" w:rsidRPr="00B235DF">
          <w:rPr>
            <w:rStyle w:val="Hyperlink"/>
            <w:i/>
            <w:iCs/>
            <w:noProof/>
          </w:rPr>
          <w:t>Retention of High Need Adults</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_Toc134117571 \h </w:instrText>
        </w:r>
        <w:r w:rsidR="004A7429" w:rsidRPr="00C72DF1">
          <w:rPr>
            <w:noProof/>
            <w:webHidden/>
          </w:rPr>
        </w:r>
        <w:r w:rsidR="004A7429" w:rsidRPr="00C72DF1">
          <w:rPr>
            <w:noProof/>
            <w:webHidden/>
          </w:rPr>
          <w:fldChar w:fldCharType="separate"/>
        </w:r>
        <w:r w:rsidR="00BE3E90">
          <w:rPr>
            <w:noProof/>
            <w:webHidden/>
          </w:rPr>
          <w:t>11</w:t>
        </w:r>
        <w:r w:rsidR="004A7429" w:rsidRPr="00C72DF1">
          <w:rPr>
            <w:noProof/>
            <w:webHidden/>
          </w:rPr>
          <w:fldChar w:fldCharType="end"/>
        </w:r>
      </w:hyperlink>
    </w:p>
    <w:p w14:paraId="6F380A8B" w14:textId="253F7CC5" w:rsidR="004A7429" w:rsidRPr="00C72DF1" w:rsidRDefault="00000000" w:rsidP="00C72DF1">
      <w:pPr>
        <w:pStyle w:val="TOC2"/>
        <w:rPr>
          <w:rFonts w:eastAsiaTheme="minorEastAsia"/>
          <w:noProof/>
          <w:sz w:val="22"/>
          <w:szCs w:val="22"/>
        </w:rPr>
      </w:pPr>
      <w:hyperlink w:anchor="_Toc134117573" w:history="1">
        <w:r w:rsidR="004A7429" w:rsidRPr="00B235DF">
          <w:rPr>
            <w:rStyle w:val="Hyperlink"/>
            <w:i/>
            <w:iCs/>
            <w:noProof/>
          </w:rPr>
          <w:t>J.</w:t>
        </w:r>
        <w:r w:rsidR="004A7429" w:rsidRPr="00C72DF1">
          <w:rPr>
            <w:rFonts w:eastAsiaTheme="minorEastAsia"/>
            <w:noProof/>
            <w:sz w:val="22"/>
            <w:szCs w:val="22"/>
          </w:rPr>
          <w:tab/>
        </w:r>
        <w:r w:rsidR="004A7429" w:rsidRPr="00B235DF">
          <w:rPr>
            <w:rStyle w:val="Hyperlink"/>
            <w:i/>
            <w:iCs/>
            <w:noProof/>
          </w:rPr>
          <w:t>High Need Adults Functioning</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_Toc134117573 \h </w:instrText>
        </w:r>
        <w:r w:rsidR="004A7429" w:rsidRPr="00C72DF1">
          <w:rPr>
            <w:noProof/>
            <w:webHidden/>
          </w:rPr>
        </w:r>
        <w:r w:rsidR="004A7429" w:rsidRPr="00C72DF1">
          <w:rPr>
            <w:noProof/>
            <w:webHidden/>
          </w:rPr>
          <w:fldChar w:fldCharType="separate"/>
        </w:r>
        <w:r w:rsidR="00BE3E90">
          <w:rPr>
            <w:noProof/>
            <w:webHidden/>
          </w:rPr>
          <w:t>11</w:t>
        </w:r>
        <w:r w:rsidR="004A7429" w:rsidRPr="00C72DF1">
          <w:rPr>
            <w:noProof/>
            <w:webHidden/>
          </w:rPr>
          <w:fldChar w:fldCharType="end"/>
        </w:r>
      </w:hyperlink>
    </w:p>
    <w:p w14:paraId="53F95F3F" w14:textId="5FA70403" w:rsidR="004A7429" w:rsidRPr="00C72DF1" w:rsidRDefault="00000000" w:rsidP="00C72DF1">
      <w:pPr>
        <w:pStyle w:val="TOC2"/>
        <w:rPr>
          <w:rFonts w:eastAsiaTheme="minorEastAsia"/>
          <w:noProof/>
          <w:sz w:val="22"/>
          <w:szCs w:val="22"/>
        </w:rPr>
      </w:pPr>
      <w:hyperlink w:anchor="_Toc134117574" w:history="1">
        <w:r w:rsidR="004A7429" w:rsidRPr="00B235DF">
          <w:rPr>
            <w:rStyle w:val="Hyperlink"/>
            <w:i/>
            <w:iCs/>
            <w:noProof/>
          </w:rPr>
          <w:t>K.</w:t>
        </w:r>
        <w:r w:rsidR="004A7429" w:rsidRPr="00C72DF1">
          <w:rPr>
            <w:rFonts w:eastAsiaTheme="minorEastAsia"/>
            <w:noProof/>
            <w:sz w:val="22"/>
            <w:szCs w:val="22"/>
          </w:rPr>
          <w:tab/>
        </w:r>
        <w:r w:rsidR="004A7429" w:rsidRPr="00B235DF">
          <w:rPr>
            <w:rStyle w:val="Hyperlink"/>
            <w:i/>
            <w:iCs/>
            <w:noProof/>
          </w:rPr>
          <w:t>Retention of Justice–Involved Adults</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_Toc134117574 \h </w:instrText>
        </w:r>
        <w:r w:rsidR="004A7429" w:rsidRPr="00C72DF1">
          <w:rPr>
            <w:noProof/>
            <w:webHidden/>
          </w:rPr>
        </w:r>
        <w:r w:rsidR="004A7429" w:rsidRPr="00C72DF1">
          <w:rPr>
            <w:noProof/>
            <w:webHidden/>
          </w:rPr>
          <w:fldChar w:fldCharType="separate"/>
        </w:r>
        <w:r w:rsidR="00BE3E90">
          <w:rPr>
            <w:noProof/>
            <w:webHidden/>
          </w:rPr>
          <w:t>12</w:t>
        </w:r>
        <w:r w:rsidR="004A7429" w:rsidRPr="00C72DF1">
          <w:rPr>
            <w:noProof/>
            <w:webHidden/>
          </w:rPr>
          <w:fldChar w:fldCharType="end"/>
        </w:r>
      </w:hyperlink>
    </w:p>
    <w:p w14:paraId="20C7CB55" w14:textId="4D15741D" w:rsidR="004A7429" w:rsidRPr="00C72DF1" w:rsidRDefault="00000000" w:rsidP="00C72DF1">
      <w:pPr>
        <w:pStyle w:val="TOC2"/>
        <w:rPr>
          <w:rFonts w:eastAsiaTheme="minorEastAsia"/>
          <w:noProof/>
          <w:sz w:val="22"/>
          <w:szCs w:val="22"/>
        </w:rPr>
      </w:pPr>
      <w:hyperlink w:anchor="_Toc134117575" w:history="1">
        <w:r w:rsidR="004A7429" w:rsidRPr="00B235DF">
          <w:rPr>
            <w:rStyle w:val="Hyperlink"/>
            <w:i/>
            <w:iCs/>
            <w:noProof/>
          </w:rPr>
          <w:t>L.</w:t>
        </w:r>
        <w:r w:rsidR="004A7429" w:rsidRPr="00C72DF1">
          <w:rPr>
            <w:rFonts w:eastAsiaTheme="minorEastAsia"/>
            <w:noProof/>
            <w:sz w:val="22"/>
            <w:szCs w:val="22"/>
          </w:rPr>
          <w:tab/>
        </w:r>
        <w:r w:rsidR="004A7429" w:rsidRPr="00B235DF">
          <w:rPr>
            <w:rStyle w:val="Hyperlink"/>
            <w:i/>
            <w:iCs/>
            <w:noProof/>
          </w:rPr>
          <w:t>Criminal Justice Outcomes</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_Toc134117575 \h </w:instrText>
        </w:r>
        <w:r w:rsidR="004A7429" w:rsidRPr="00C72DF1">
          <w:rPr>
            <w:noProof/>
            <w:webHidden/>
          </w:rPr>
        </w:r>
        <w:r w:rsidR="004A7429" w:rsidRPr="00C72DF1">
          <w:rPr>
            <w:noProof/>
            <w:webHidden/>
          </w:rPr>
          <w:fldChar w:fldCharType="separate"/>
        </w:r>
        <w:r w:rsidR="00BE3E90">
          <w:rPr>
            <w:noProof/>
            <w:webHidden/>
          </w:rPr>
          <w:t>12</w:t>
        </w:r>
        <w:r w:rsidR="004A7429" w:rsidRPr="00C72DF1">
          <w:rPr>
            <w:noProof/>
            <w:webHidden/>
          </w:rPr>
          <w:fldChar w:fldCharType="end"/>
        </w:r>
      </w:hyperlink>
    </w:p>
    <w:p w14:paraId="2BD02E62" w14:textId="68255CD1" w:rsidR="004A7429" w:rsidRDefault="00000000" w:rsidP="00B235DF">
      <w:pPr>
        <w:pStyle w:val="TOC1"/>
        <w:rPr>
          <w:rFonts w:eastAsiaTheme="minorEastAsia"/>
          <w:noProof/>
          <w:sz w:val="22"/>
          <w:szCs w:val="22"/>
        </w:rPr>
      </w:pPr>
      <w:hyperlink w:anchor="_Toc134117576" w:history="1">
        <w:r w:rsidR="004A7429" w:rsidRPr="00B85C1B">
          <w:rPr>
            <w:rStyle w:val="Hyperlink"/>
            <w:noProof/>
            <w:kern w:val="24"/>
          </w:rPr>
          <w:t>III.</w:t>
        </w:r>
        <w:r w:rsidR="004A7429">
          <w:rPr>
            <w:rFonts w:eastAsiaTheme="minorEastAsia"/>
            <w:noProof/>
            <w:sz w:val="22"/>
            <w:szCs w:val="22"/>
          </w:rPr>
          <w:tab/>
        </w:r>
        <w:r w:rsidR="004A7429" w:rsidRPr="00B85C1B">
          <w:rPr>
            <w:rStyle w:val="Hyperlink"/>
            <w:noProof/>
          </w:rPr>
          <w:t>Child Services</w:t>
        </w:r>
        <w:r w:rsidR="004A7429">
          <w:rPr>
            <w:noProof/>
            <w:webHidden/>
          </w:rPr>
          <w:tab/>
        </w:r>
        <w:r w:rsidR="004A7429">
          <w:rPr>
            <w:noProof/>
            <w:webHidden/>
          </w:rPr>
          <w:fldChar w:fldCharType="begin"/>
        </w:r>
        <w:r w:rsidR="004A7429">
          <w:rPr>
            <w:noProof/>
            <w:webHidden/>
          </w:rPr>
          <w:instrText xml:space="preserve"> PAGEREF _Toc134117576 \h </w:instrText>
        </w:r>
        <w:r w:rsidR="004A7429">
          <w:rPr>
            <w:noProof/>
            <w:webHidden/>
          </w:rPr>
        </w:r>
        <w:r w:rsidR="004A7429">
          <w:rPr>
            <w:noProof/>
            <w:webHidden/>
          </w:rPr>
          <w:fldChar w:fldCharType="separate"/>
        </w:r>
        <w:r w:rsidR="00BE3E90">
          <w:rPr>
            <w:noProof/>
            <w:webHidden/>
          </w:rPr>
          <w:t>14</w:t>
        </w:r>
        <w:r w:rsidR="004A7429">
          <w:rPr>
            <w:noProof/>
            <w:webHidden/>
          </w:rPr>
          <w:fldChar w:fldCharType="end"/>
        </w:r>
      </w:hyperlink>
    </w:p>
    <w:p w14:paraId="6C902969" w14:textId="0C428D8B" w:rsidR="004A7429" w:rsidRPr="00C72DF1" w:rsidRDefault="00000000" w:rsidP="00C72DF1">
      <w:pPr>
        <w:pStyle w:val="TOC2"/>
        <w:rPr>
          <w:rFonts w:eastAsiaTheme="minorEastAsia"/>
          <w:noProof/>
          <w:sz w:val="22"/>
          <w:szCs w:val="22"/>
        </w:rPr>
      </w:pPr>
      <w:hyperlink w:anchor="_Toc134117577" w:history="1">
        <w:r w:rsidR="004A7429" w:rsidRPr="00B235DF">
          <w:rPr>
            <w:rStyle w:val="Hyperlink"/>
            <w:i/>
            <w:iCs/>
            <w:noProof/>
          </w:rPr>
          <w:t>A.</w:t>
        </w:r>
        <w:r w:rsidR="004A7429" w:rsidRPr="00C72DF1">
          <w:rPr>
            <w:rFonts w:eastAsiaTheme="minorEastAsia"/>
            <w:noProof/>
            <w:sz w:val="22"/>
            <w:szCs w:val="22"/>
          </w:rPr>
          <w:tab/>
        </w:r>
        <w:r w:rsidR="004A7429" w:rsidRPr="00B235DF">
          <w:rPr>
            <w:rStyle w:val="Hyperlink"/>
            <w:i/>
            <w:iCs/>
            <w:noProof/>
          </w:rPr>
          <w:t>Child Service Target</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_Toc134117577 \h </w:instrText>
        </w:r>
        <w:r w:rsidR="004A7429" w:rsidRPr="00C72DF1">
          <w:rPr>
            <w:noProof/>
            <w:webHidden/>
          </w:rPr>
        </w:r>
        <w:r w:rsidR="004A7429" w:rsidRPr="00C72DF1">
          <w:rPr>
            <w:noProof/>
            <w:webHidden/>
          </w:rPr>
          <w:fldChar w:fldCharType="separate"/>
        </w:r>
        <w:r w:rsidR="00BE3E90">
          <w:rPr>
            <w:noProof/>
            <w:webHidden/>
          </w:rPr>
          <w:t>14</w:t>
        </w:r>
        <w:r w:rsidR="004A7429" w:rsidRPr="00C72DF1">
          <w:rPr>
            <w:noProof/>
            <w:webHidden/>
          </w:rPr>
          <w:fldChar w:fldCharType="end"/>
        </w:r>
      </w:hyperlink>
    </w:p>
    <w:p w14:paraId="719189BE" w14:textId="66FA5429" w:rsidR="004A7429" w:rsidRPr="00C72DF1" w:rsidRDefault="00000000" w:rsidP="00C72DF1">
      <w:pPr>
        <w:pStyle w:val="TOC2"/>
        <w:rPr>
          <w:rFonts w:eastAsiaTheme="minorEastAsia"/>
          <w:noProof/>
          <w:sz w:val="22"/>
          <w:szCs w:val="22"/>
        </w:rPr>
      </w:pPr>
      <w:hyperlink w:anchor="_Toc134117578" w:history="1">
        <w:r w:rsidR="004A7429" w:rsidRPr="00B235DF">
          <w:rPr>
            <w:rStyle w:val="Hyperlink"/>
            <w:i/>
            <w:iCs/>
            <w:noProof/>
          </w:rPr>
          <w:t>B.</w:t>
        </w:r>
        <w:r w:rsidR="004A7429" w:rsidRPr="00C72DF1">
          <w:rPr>
            <w:rFonts w:eastAsiaTheme="minorEastAsia"/>
            <w:noProof/>
            <w:sz w:val="22"/>
            <w:szCs w:val="22"/>
          </w:rPr>
          <w:tab/>
        </w:r>
        <w:r w:rsidR="004A7429" w:rsidRPr="00B235DF">
          <w:rPr>
            <w:rStyle w:val="Hyperlink"/>
            <w:i/>
            <w:iCs/>
            <w:noProof/>
          </w:rPr>
          <w:t>Child Monthly Service Provision</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_Toc134117578 \h </w:instrText>
        </w:r>
        <w:r w:rsidR="004A7429" w:rsidRPr="00C72DF1">
          <w:rPr>
            <w:noProof/>
            <w:webHidden/>
          </w:rPr>
        </w:r>
        <w:r w:rsidR="004A7429" w:rsidRPr="00C72DF1">
          <w:rPr>
            <w:noProof/>
            <w:webHidden/>
          </w:rPr>
          <w:fldChar w:fldCharType="separate"/>
        </w:r>
        <w:r w:rsidR="00BE3E90">
          <w:rPr>
            <w:noProof/>
            <w:webHidden/>
          </w:rPr>
          <w:t>14</w:t>
        </w:r>
        <w:r w:rsidR="004A7429" w:rsidRPr="00C72DF1">
          <w:rPr>
            <w:noProof/>
            <w:webHidden/>
          </w:rPr>
          <w:fldChar w:fldCharType="end"/>
        </w:r>
      </w:hyperlink>
    </w:p>
    <w:p w14:paraId="775E2DBD" w14:textId="1B921E1B" w:rsidR="004A7429" w:rsidRPr="00C72DF1" w:rsidRDefault="00000000" w:rsidP="00C72DF1">
      <w:pPr>
        <w:pStyle w:val="TOC2"/>
        <w:rPr>
          <w:rFonts w:eastAsiaTheme="minorEastAsia"/>
          <w:noProof/>
          <w:sz w:val="22"/>
          <w:szCs w:val="22"/>
        </w:rPr>
      </w:pPr>
      <w:hyperlink w:anchor="_Toc134117580" w:history="1">
        <w:r w:rsidR="004A7429" w:rsidRPr="00B235DF">
          <w:rPr>
            <w:rStyle w:val="Hyperlink"/>
            <w:i/>
            <w:iCs/>
            <w:noProof/>
          </w:rPr>
          <w:t>C.</w:t>
        </w:r>
        <w:r w:rsidR="004A7429" w:rsidRPr="00C72DF1">
          <w:rPr>
            <w:rFonts w:eastAsiaTheme="minorEastAsia"/>
            <w:noProof/>
            <w:sz w:val="22"/>
            <w:szCs w:val="22"/>
          </w:rPr>
          <w:tab/>
        </w:r>
        <w:r w:rsidR="004A7429" w:rsidRPr="00B235DF">
          <w:rPr>
            <w:rStyle w:val="Hyperlink"/>
            <w:i/>
            <w:iCs/>
            <w:noProof/>
          </w:rPr>
          <w:t>Juvenile Justice Avoidance</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_Toc134117580 \h </w:instrText>
        </w:r>
        <w:r w:rsidR="004A7429" w:rsidRPr="00C72DF1">
          <w:rPr>
            <w:noProof/>
            <w:webHidden/>
          </w:rPr>
        </w:r>
        <w:r w:rsidR="004A7429" w:rsidRPr="00C72DF1">
          <w:rPr>
            <w:noProof/>
            <w:webHidden/>
          </w:rPr>
          <w:fldChar w:fldCharType="separate"/>
        </w:r>
        <w:r w:rsidR="00BE3E90">
          <w:rPr>
            <w:noProof/>
            <w:webHidden/>
          </w:rPr>
          <w:t>15</w:t>
        </w:r>
        <w:r w:rsidR="004A7429" w:rsidRPr="00C72DF1">
          <w:rPr>
            <w:noProof/>
            <w:webHidden/>
          </w:rPr>
          <w:fldChar w:fldCharType="end"/>
        </w:r>
      </w:hyperlink>
    </w:p>
    <w:p w14:paraId="730DA544" w14:textId="574C51D3" w:rsidR="004A7429" w:rsidRPr="00C72DF1" w:rsidRDefault="00000000" w:rsidP="00C72DF1">
      <w:pPr>
        <w:pStyle w:val="TOC2"/>
        <w:rPr>
          <w:rFonts w:eastAsiaTheme="minorEastAsia"/>
          <w:noProof/>
          <w:sz w:val="22"/>
          <w:szCs w:val="22"/>
        </w:rPr>
      </w:pPr>
      <w:hyperlink w:anchor="_Toc134117582" w:history="1">
        <w:r w:rsidR="004A7429" w:rsidRPr="00B235DF">
          <w:rPr>
            <w:rStyle w:val="Hyperlink"/>
            <w:i/>
            <w:iCs/>
            <w:noProof/>
          </w:rPr>
          <w:t>D.</w:t>
        </w:r>
        <w:r w:rsidR="004A7429" w:rsidRPr="00C72DF1">
          <w:rPr>
            <w:rFonts w:eastAsiaTheme="minorEastAsia"/>
            <w:noProof/>
            <w:sz w:val="22"/>
            <w:szCs w:val="22"/>
          </w:rPr>
          <w:tab/>
        </w:r>
        <w:r w:rsidR="004A7429" w:rsidRPr="00B235DF">
          <w:rPr>
            <w:rStyle w:val="Hyperlink"/>
            <w:i/>
            <w:iCs/>
            <w:noProof/>
          </w:rPr>
          <w:t>Family Partner Response</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_Toc134117582 \h </w:instrText>
        </w:r>
        <w:r w:rsidR="004A7429" w:rsidRPr="00C72DF1">
          <w:rPr>
            <w:noProof/>
            <w:webHidden/>
          </w:rPr>
        </w:r>
        <w:r w:rsidR="004A7429" w:rsidRPr="00C72DF1">
          <w:rPr>
            <w:noProof/>
            <w:webHidden/>
          </w:rPr>
          <w:fldChar w:fldCharType="separate"/>
        </w:r>
        <w:r w:rsidR="00BE3E90">
          <w:rPr>
            <w:noProof/>
            <w:webHidden/>
          </w:rPr>
          <w:t>15</w:t>
        </w:r>
        <w:r w:rsidR="004A7429" w:rsidRPr="00C72DF1">
          <w:rPr>
            <w:noProof/>
            <w:webHidden/>
          </w:rPr>
          <w:fldChar w:fldCharType="end"/>
        </w:r>
      </w:hyperlink>
    </w:p>
    <w:p w14:paraId="6D8A1A69" w14:textId="67625256" w:rsidR="004A7429" w:rsidRPr="00C72DF1" w:rsidRDefault="00000000" w:rsidP="00C72DF1">
      <w:pPr>
        <w:pStyle w:val="TOC2"/>
        <w:rPr>
          <w:rFonts w:eastAsiaTheme="minorEastAsia"/>
          <w:noProof/>
          <w:sz w:val="22"/>
          <w:szCs w:val="22"/>
        </w:rPr>
      </w:pPr>
      <w:hyperlink w:anchor="_Toc134117593" w:history="1">
        <w:r w:rsidR="004A7429" w:rsidRPr="00B235DF">
          <w:rPr>
            <w:rStyle w:val="Hyperlink"/>
            <w:i/>
            <w:iCs/>
            <w:noProof/>
          </w:rPr>
          <w:t>E.</w:t>
        </w:r>
        <w:r w:rsidR="004A7429" w:rsidRPr="00C72DF1">
          <w:rPr>
            <w:rFonts w:eastAsiaTheme="minorEastAsia"/>
            <w:noProof/>
            <w:sz w:val="22"/>
            <w:szCs w:val="22"/>
          </w:rPr>
          <w:tab/>
        </w:r>
        <w:r w:rsidR="004A7429" w:rsidRPr="00B235DF">
          <w:rPr>
            <w:rStyle w:val="Hyperlink"/>
            <w:i/>
            <w:iCs/>
            <w:noProof/>
          </w:rPr>
          <w:t>Family and Living Situation</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_Toc134117593 \h </w:instrText>
        </w:r>
        <w:r w:rsidR="004A7429" w:rsidRPr="00C72DF1">
          <w:rPr>
            <w:noProof/>
            <w:webHidden/>
          </w:rPr>
        </w:r>
        <w:r w:rsidR="004A7429" w:rsidRPr="00C72DF1">
          <w:rPr>
            <w:noProof/>
            <w:webHidden/>
          </w:rPr>
          <w:fldChar w:fldCharType="separate"/>
        </w:r>
        <w:r w:rsidR="00BE3E90">
          <w:rPr>
            <w:noProof/>
            <w:webHidden/>
          </w:rPr>
          <w:t>16</w:t>
        </w:r>
        <w:r w:rsidR="004A7429" w:rsidRPr="00C72DF1">
          <w:rPr>
            <w:noProof/>
            <w:webHidden/>
          </w:rPr>
          <w:fldChar w:fldCharType="end"/>
        </w:r>
      </w:hyperlink>
    </w:p>
    <w:p w14:paraId="66241FF5" w14:textId="3BA90373" w:rsidR="004A7429" w:rsidRPr="00C72DF1" w:rsidRDefault="00000000" w:rsidP="00C72DF1">
      <w:pPr>
        <w:pStyle w:val="TOC2"/>
        <w:rPr>
          <w:rFonts w:eastAsiaTheme="minorEastAsia"/>
          <w:noProof/>
          <w:sz w:val="22"/>
          <w:szCs w:val="22"/>
        </w:rPr>
      </w:pPr>
      <w:hyperlink w:anchor="_Toc134117594" w:history="1">
        <w:r w:rsidR="004A7429" w:rsidRPr="00B235DF">
          <w:rPr>
            <w:rStyle w:val="Hyperlink"/>
            <w:i/>
            <w:iCs/>
            <w:noProof/>
          </w:rPr>
          <w:t>F.</w:t>
        </w:r>
        <w:r w:rsidR="004A7429" w:rsidRPr="00C72DF1">
          <w:rPr>
            <w:rFonts w:eastAsiaTheme="minorEastAsia"/>
            <w:noProof/>
            <w:sz w:val="22"/>
            <w:szCs w:val="22"/>
          </w:rPr>
          <w:tab/>
        </w:r>
        <w:r w:rsidR="004A7429" w:rsidRPr="00B235DF">
          <w:rPr>
            <w:rStyle w:val="Hyperlink"/>
            <w:i/>
            <w:iCs/>
            <w:noProof/>
          </w:rPr>
          <w:t>TANF Transfer to Title XX Services</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_Toc134117594 \h </w:instrText>
        </w:r>
        <w:r w:rsidR="004A7429" w:rsidRPr="00C72DF1">
          <w:rPr>
            <w:noProof/>
            <w:webHidden/>
          </w:rPr>
        </w:r>
        <w:r w:rsidR="004A7429" w:rsidRPr="00C72DF1">
          <w:rPr>
            <w:noProof/>
            <w:webHidden/>
          </w:rPr>
          <w:fldChar w:fldCharType="separate"/>
        </w:r>
        <w:r w:rsidR="00BE3E90">
          <w:rPr>
            <w:noProof/>
            <w:webHidden/>
          </w:rPr>
          <w:t>16</w:t>
        </w:r>
        <w:r w:rsidR="004A7429" w:rsidRPr="00C72DF1">
          <w:rPr>
            <w:noProof/>
            <w:webHidden/>
          </w:rPr>
          <w:fldChar w:fldCharType="end"/>
        </w:r>
      </w:hyperlink>
    </w:p>
    <w:p w14:paraId="12EAF6EA" w14:textId="46D8898E" w:rsidR="004A7429" w:rsidRPr="00C72DF1" w:rsidRDefault="00000000" w:rsidP="00C72DF1">
      <w:pPr>
        <w:pStyle w:val="TOC2"/>
        <w:rPr>
          <w:rFonts w:eastAsiaTheme="minorEastAsia"/>
          <w:noProof/>
          <w:sz w:val="22"/>
          <w:szCs w:val="22"/>
        </w:rPr>
      </w:pPr>
      <w:hyperlink w:anchor="_Toc134117603" w:history="1">
        <w:r w:rsidR="004A7429" w:rsidRPr="00B235DF">
          <w:rPr>
            <w:rStyle w:val="Hyperlink"/>
            <w:i/>
            <w:iCs/>
            <w:noProof/>
          </w:rPr>
          <w:t>G.</w:t>
        </w:r>
        <w:r w:rsidR="004A7429" w:rsidRPr="00C72DF1">
          <w:rPr>
            <w:rFonts w:eastAsiaTheme="minorEastAsia"/>
            <w:noProof/>
            <w:sz w:val="22"/>
            <w:szCs w:val="22"/>
          </w:rPr>
          <w:tab/>
        </w:r>
        <w:r w:rsidR="004A7429" w:rsidRPr="00B235DF">
          <w:rPr>
            <w:rStyle w:val="Hyperlink"/>
            <w:i/>
            <w:iCs/>
            <w:noProof/>
          </w:rPr>
          <w:t>Retention of Justice–Involved Children</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_Toc134117603 \h </w:instrText>
        </w:r>
        <w:r w:rsidR="004A7429" w:rsidRPr="00C72DF1">
          <w:rPr>
            <w:noProof/>
            <w:webHidden/>
          </w:rPr>
        </w:r>
        <w:r w:rsidR="004A7429" w:rsidRPr="00C72DF1">
          <w:rPr>
            <w:noProof/>
            <w:webHidden/>
          </w:rPr>
          <w:fldChar w:fldCharType="separate"/>
        </w:r>
        <w:r w:rsidR="00BE3E90">
          <w:rPr>
            <w:noProof/>
            <w:webHidden/>
          </w:rPr>
          <w:t>18</w:t>
        </w:r>
        <w:r w:rsidR="004A7429" w:rsidRPr="00C72DF1">
          <w:rPr>
            <w:noProof/>
            <w:webHidden/>
          </w:rPr>
          <w:fldChar w:fldCharType="end"/>
        </w:r>
      </w:hyperlink>
    </w:p>
    <w:p w14:paraId="5B0F1A9D" w14:textId="3BAE73FA" w:rsidR="004A7429" w:rsidRPr="00C72DF1" w:rsidRDefault="00000000" w:rsidP="00C72DF1">
      <w:pPr>
        <w:pStyle w:val="TOC2"/>
        <w:rPr>
          <w:rFonts w:eastAsiaTheme="minorEastAsia"/>
          <w:noProof/>
          <w:sz w:val="22"/>
          <w:szCs w:val="22"/>
        </w:rPr>
      </w:pPr>
      <w:hyperlink w:anchor="_Toc134117604" w:history="1">
        <w:r w:rsidR="004A7429" w:rsidRPr="00B235DF">
          <w:rPr>
            <w:rStyle w:val="Hyperlink"/>
            <w:i/>
            <w:iCs/>
            <w:noProof/>
          </w:rPr>
          <w:t>H.</w:t>
        </w:r>
        <w:r w:rsidR="004A7429" w:rsidRPr="00C72DF1">
          <w:rPr>
            <w:rFonts w:eastAsiaTheme="minorEastAsia"/>
            <w:noProof/>
            <w:sz w:val="22"/>
            <w:szCs w:val="22"/>
          </w:rPr>
          <w:tab/>
        </w:r>
        <w:r w:rsidR="004A7429" w:rsidRPr="00B235DF">
          <w:rPr>
            <w:rStyle w:val="Hyperlink"/>
            <w:i/>
            <w:iCs/>
            <w:noProof/>
          </w:rPr>
          <w:t>Juvenile Justice Outcomes</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_Toc134117604 \h </w:instrText>
        </w:r>
        <w:r w:rsidR="004A7429" w:rsidRPr="00C72DF1">
          <w:rPr>
            <w:noProof/>
            <w:webHidden/>
          </w:rPr>
        </w:r>
        <w:r w:rsidR="004A7429" w:rsidRPr="00C72DF1">
          <w:rPr>
            <w:noProof/>
            <w:webHidden/>
          </w:rPr>
          <w:fldChar w:fldCharType="separate"/>
        </w:r>
        <w:r w:rsidR="00BE3E90">
          <w:rPr>
            <w:noProof/>
            <w:webHidden/>
          </w:rPr>
          <w:t>18</w:t>
        </w:r>
        <w:r w:rsidR="004A7429" w:rsidRPr="00C72DF1">
          <w:rPr>
            <w:noProof/>
            <w:webHidden/>
          </w:rPr>
          <w:fldChar w:fldCharType="end"/>
        </w:r>
      </w:hyperlink>
    </w:p>
    <w:p w14:paraId="6D7CEE4C" w14:textId="67AE05C1" w:rsidR="004A7429" w:rsidRDefault="00000000" w:rsidP="00B235DF">
      <w:pPr>
        <w:pStyle w:val="TOC1"/>
        <w:rPr>
          <w:rFonts w:eastAsiaTheme="minorEastAsia"/>
          <w:noProof/>
          <w:sz w:val="22"/>
          <w:szCs w:val="22"/>
        </w:rPr>
      </w:pPr>
      <w:hyperlink w:anchor="_Toc134117605" w:history="1">
        <w:r w:rsidR="004A7429" w:rsidRPr="00B85C1B">
          <w:rPr>
            <w:rStyle w:val="Hyperlink"/>
            <w:noProof/>
            <w:kern w:val="24"/>
          </w:rPr>
          <w:t>IV.</w:t>
        </w:r>
        <w:r w:rsidR="004A7429">
          <w:rPr>
            <w:rFonts w:eastAsiaTheme="minorEastAsia"/>
            <w:noProof/>
            <w:sz w:val="22"/>
            <w:szCs w:val="22"/>
          </w:rPr>
          <w:tab/>
        </w:r>
        <w:r w:rsidR="004A7429" w:rsidRPr="00B85C1B">
          <w:rPr>
            <w:rStyle w:val="Hyperlink"/>
            <w:noProof/>
          </w:rPr>
          <w:t>Crisis Services</w:t>
        </w:r>
        <w:r w:rsidR="004A7429">
          <w:rPr>
            <w:noProof/>
            <w:webHidden/>
          </w:rPr>
          <w:tab/>
        </w:r>
        <w:r w:rsidR="004A7429">
          <w:rPr>
            <w:noProof/>
            <w:webHidden/>
          </w:rPr>
          <w:fldChar w:fldCharType="begin"/>
        </w:r>
        <w:r w:rsidR="004A7429">
          <w:rPr>
            <w:noProof/>
            <w:webHidden/>
          </w:rPr>
          <w:instrText xml:space="preserve"> PAGEREF _Toc134117605 \h </w:instrText>
        </w:r>
        <w:r w:rsidR="004A7429">
          <w:rPr>
            <w:noProof/>
            <w:webHidden/>
          </w:rPr>
        </w:r>
        <w:r w:rsidR="004A7429">
          <w:rPr>
            <w:noProof/>
            <w:webHidden/>
          </w:rPr>
          <w:fldChar w:fldCharType="separate"/>
        </w:r>
        <w:r w:rsidR="00BE3E90">
          <w:rPr>
            <w:noProof/>
            <w:webHidden/>
          </w:rPr>
          <w:t>20</w:t>
        </w:r>
        <w:r w:rsidR="004A7429">
          <w:rPr>
            <w:noProof/>
            <w:webHidden/>
          </w:rPr>
          <w:fldChar w:fldCharType="end"/>
        </w:r>
      </w:hyperlink>
    </w:p>
    <w:p w14:paraId="6CCEBDB6" w14:textId="4D0AF0FB" w:rsidR="004A7429" w:rsidRPr="00C72DF1" w:rsidRDefault="00000000" w:rsidP="00C72DF1">
      <w:pPr>
        <w:pStyle w:val="TOC2"/>
        <w:rPr>
          <w:rFonts w:eastAsiaTheme="minorEastAsia"/>
          <w:noProof/>
          <w:sz w:val="22"/>
          <w:szCs w:val="22"/>
        </w:rPr>
      </w:pPr>
      <w:hyperlink w:anchor="_Toc134117606" w:history="1">
        <w:r w:rsidR="004A7429" w:rsidRPr="00B235DF">
          <w:rPr>
            <w:rStyle w:val="Hyperlink"/>
            <w:i/>
            <w:iCs/>
            <w:noProof/>
          </w:rPr>
          <w:t>A.</w:t>
        </w:r>
        <w:r w:rsidR="004A7429" w:rsidRPr="00C72DF1">
          <w:rPr>
            <w:rFonts w:eastAsiaTheme="minorEastAsia"/>
            <w:noProof/>
            <w:sz w:val="22"/>
            <w:szCs w:val="22"/>
          </w:rPr>
          <w:tab/>
        </w:r>
        <w:r w:rsidR="004A7429" w:rsidRPr="00B235DF">
          <w:rPr>
            <w:rStyle w:val="Hyperlink"/>
            <w:i/>
            <w:iCs/>
            <w:noProof/>
          </w:rPr>
          <w:t>Hospitalization Rate</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_Toc134117606 \h </w:instrText>
        </w:r>
        <w:r w:rsidR="004A7429" w:rsidRPr="00C72DF1">
          <w:rPr>
            <w:noProof/>
            <w:webHidden/>
          </w:rPr>
        </w:r>
        <w:r w:rsidR="004A7429" w:rsidRPr="00C72DF1">
          <w:rPr>
            <w:noProof/>
            <w:webHidden/>
          </w:rPr>
          <w:fldChar w:fldCharType="separate"/>
        </w:r>
        <w:r w:rsidR="00BE3E90">
          <w:rPr>
            <w:noProof/>
            <w:webHidden/>
          </w:rPr>
          <w:t>20</w:t>
        </w:r>
        <w:r w:rsidR="004A7429" w:rsidRPr="00C72DF1">
          <w:rPr>
            <w:noProof/>
            <w:webHidden/>
          </w:rPr>
          <w:fldChar w:fldCharType="end"/>
        </w:r>
      </w:hyperlink>
    </w:p>
    <w:p w14:paraId="5250E2BB" w14:textId="18F07895" w:rsidR="004A7429" w:rsidRPr="00C72DF1" w:rsidRDefault="00000000" w:rsidP="00C72DF1">
      <w:pPr>
        <w:pStyle w:val="TOC2"/>
        <w:rPr>
          <w:rFonts w:eastAsiaTheme="minorEastAsia"/>
          <w:noProof/>
          <w:sz w:val="22"/>
          <w:szCs w:val="22"/>
        </w:rPr>
      </w:pPr>
      <w:hyperlink w:anchor="_Toc134117617" w:history="1">
        <w:r w:rsidR="004A7429" w:rsidRPr="00B235DF">
          <w:rPr>
            <w:rStyle w:val="Hyperlink"/>
            <w:i/>
            <w:iCs/>
            <w:noProof/>
          </w:rPr>
          <w:t>B.</w:t>
        </w:r>
        <w:r w:rsidR="004A7429" w:rsidRPr="00C72DF1">
          <w:rPr>
            <w:rFonts w:eastAsiaTheme="minorEastAsia"/>
            <w:noProof/>
            <w:sz w:val="22"/>
            <w:szCs w:val="22"/>
          </w:rPr>
          <w:tab/>
        </w:r>
        <w:r w:rsidR="004A7429" w:rsidRPr="00B235DF">
          <w:rPr>
            <w:rStyle w:val="Hyperlink"/>
            <w:i/>
            <w:iCs/>
            <w:noProof/>
          </w:rPr>
          <w:t>Access to Crisis Response Services</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_Toc134117617 \h </w:instrText>
        </w:r>
        <w:r w:rsidR="004A7429" w:rsidRPr="00C72DF1">
          <w:rPr>
            <w:noProof/>
            <w:webHidden/>
          </w:rPr>
        </w:r>
        <w:r w:rsidR="004A7429" w:rsidRPr="00C72DF1">
          <w:rPr>
            <w:noProof/>
            <w:webHidden/>
          </w:rPr>
          <w:fldChar w:fldCharType="separate"/>
        </w:r>
        <w:r w:rsidR="00BE3E90">
          <w:rPr>
            <w:noProof/>
            <w:webHidden/>
          </w:rPr>
          <w:t>21</w:t>
        </w:r>
        <w:r w:rsidR="004A7429" w:rsidRPr="00C72DF1">
          <w:rPr>
            <w:noProof/>
            <w:webHidden/>
          </w:rPr>
          <w:fldChar w:fldCharType="end"/>
        </w:r>
      </w:hyperlink>
    </w:p>
    <w:p w14:paraId="04170444" w14:textId="4F818CA7" w:rsidR="004A7429" w:rsidRPr="00C72DF1" w:rsidRDefault="00000000" w:rsidP="00C72DF1">
      <w:pPr>
        <w:pStyle w:val="TOC2"/>
        <w:rPr>
          <w:rFonts w:eastAsiaTheme="minorEastAsia"/>
          <w:noProof/>
          <w:sz w:val="22"/>
          <w:szCs w:val="22"/>
        </w:rPr>
      </w:pPr>
      <w:hyperlink w:anchor="_Toc134117634" w:history="1">
        <w:r w:rsidR="004A7429" w:rsidRPr="00B235DF">
          <w:rPr>
            <w:rStyle w:val="Hyperlink"/>
            <w:i/>
            <w:iCs/>
            <w:noProof/>
          </w:rPr>
          <w:t>C.</w:t>
        </w:r>
        <w:r w:rsidR="004A7429" w:rsidRPr="00C72DF1">
          <w:rPr>
            <w:rFonts w:eastAsiaTheme="minorEastAsia"/>
            <w:noProof/>
            <w:sz w:val="22"/>
            <w:szCs w:val="22"/>
          </w:rPr>
          <w:tab/>
        </w:r>
        <w:r w:rsidR="004A7429" w:rsidRPr="00B235DF">
          <w:rPr>
            <w:rStyle w:val="Hyperlink"/>
            <w:i/>
            <w:iCs/>
            <w:noProof/>
          </w:rPr>
          <w:t>Adult Jail Diversion</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_Toc134117634 \h </w:instrText>
        </w:r>
        <w:r w:rsidR="004A7429" w:rsidRPr="00C72DF1">
          <w:rPr>
            <w:noProof/>
            <w:webHidden/>
          </w:rPr>
        </w:r>
        <w:r w:rsidR="004A7429" w:rsidRPr="00C72DF1">
          <w:rPr>
            <w:noProof/>
            <w:webHidden/>
          </w:rPr>
          <w:fldChar w:fldCharType="separate"/>
        </w:r>
        <w:r w:rsidR="00BE3E90">
          <w:rPr>
            <w:noProof/>
            <w:webHidden/>
          </w:rPr>
          <w:t>21</w:t>
        </w:r>
        <w:r w:rsidR="004A7429" w:rsidRPr="00C72DF1">
          <w:rPr>
            <w:noProof/>
            <w:webHidden/>
          </w:rPr>
          <w:fldChar w:fldCharType="end"/>
        </w:r>
      </w:hyperlink>
    </w:p>
    <w:p w14:paraId="020B6080" w14:textId="1C861548" w:rsidR="004A7429" w:rsidRPr="00C72DF1" w:rsidRDefault="00000000" w:rsidP="00C72DF1">
      <w:pPr>
        <w:pStyle w:val="TOC2"/>
        <w:rPr>
          <w:rFonts w:eastAsiaTheme="minorEastAsia"/>
          <w:noProof/>
          <w:sz w:val="22"/>
          <w:szCs w:val="22"/>
        </w:rPr>
      </w:pPr>
      <w:hyperlink w:anchor="_Toc134117635" w:history="1">
        <w:r w:rsidR="004A7429" w:rsidRPr="00B235DF">
          <w:rPr>
            <w:rStyle w:val="Hyperlink"/>
            <w:i/>
            <w:iCs/>
            <w:noProof/>
          </w:rPr>
          <w:t>D.</w:t>
        </w:r>
        <w:r w:rsidR="004A7429" w:rsidRPr="00C72DF1">
          <w:rPr>
            <w:rFonts w:eastAsiaTheme="minorEastAsia"/>
            <w:noProof/>
            <w:sz w:val="22"/>
            <w:szCs w:val="22"/>
          </w:rPr>
          <w:tab/>
        </w:r>
        <w:r w:rsidR="004A7429" w:rsidRPr="00B235DF">
          <w:rPr>
            <w:rStyle w:val="Hyperlink"/>
            <w:i/>
            <w:iCs/>
            <w:noProof/>
          </w:rPr>
          <w:t>Hospital 30–Day Readmission</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_Toc134117635 \h </w:instrText>
        </w:r>
        <w:r w:rsidR="004A7429" w:rsidRPr="00C72DF1">
          <w:rPr>
            <w:noProof/>
            <w:webHidden/>
          </w:rPr>
        </w:r>
        <w:r w:rsidR="004A7429" w:rsidRPr="00C72DF1">
          <w:rPr>
            <w:noProof/>
            <w:webHidden/>
          </w:rPr>
          <w:fldChar w:fldCharType="separate"/>
        </w:r>
        <w:r w:rsidR="00BE3E90">
          <w:rPr>
            <w:noProof/>
            <w:webHidden/>
          </w:rPr>
          <w:t>22</w:t>
        </w:r>
        <w:r w:rsidR="004A7429" w:rsidRPr="00C72DF1">
          <w:rPr>
            <w:noProof/>
            <w:webHidden/>
          </w:rPr>
          <w:fldChar w:fldCharType="end"/>
        </w:r>
      </w:hyperlink>
    </w:p>
    <w:p w14:paraId="0981C008" w14:textId="7CE63FD0" w:rsidR="004A7429" w:rsidRDefault="00000000" w:rsidP="00B235DF">
      <w:pPr>
        <w:pStyle w:val="TOC1"/>
        <w:rPr>
          <w:rFonts w:eastAsiaTheme="minorEastAsia"/>
          <w:noProof/>
          <w:sz w:val="22"/>
          <w:szCs w:val="22"/>
        </w:rPr>
      </w:pPr>
      <w:hyperlink w:anchor="_Toc134117636" w:history="1">
        <w:r w:rsidR="004A7429" w:rsidRPr="00B85C1B">
          <w:rPr>
            <w:rStyle w:val="Hyperlink"/>
            <w:noProof/>
            <w:kern w:val="24"/>
          </w:rPr>
          <w:t>V.</w:t>
        </w:r>
        <w:r w:rsidR="004A7429">
          <w:rPr>
            <w:rFonts w:eastAsiaTheme="minorEastAsia"/>
            <w:noProof/>
            <w:sz w:val="22"/>
            <w:szCs w:val="22"/>
          </w:rPr>
          <w:tab/>
        </w:r>
        <w:r w:rsidR="004A7429" w:rsidRPr="00B85C1B">
          <w:rPr>
            <w:rStyle w:val="Hyperlink"/>
            <w:noProof/>
          </w:rPr>
          <w:t>Other Measures</w:t>
        </w:r>
        <w:r w:rsidR="004A7429">
          <w:rPr>
            <w:noProof/>
            <w:webHidden/>
          </w:rPr>
          <w:tab/>
        </w:r>
        <w:r w:rsidR="004A7429">
          <w:rPr>
            <w:noProof/>
            <w:webHidden/>
          </w:rPr>
          <w:fldChar w:fldCharType="begin"/>
        </w:r>
        <w:r w:rsidR="004A7429">
          <w:rPr>
            <w:noProof/>
            <w:webHidden/>
          </w:rPr>
          <w:instrText xml:space="preserve"> PAGEREF _Toc134117636 \h </w:instrText>
        </w:r>
        <w:r w:rsidR="004A7429">
          <w:rPr>
            <w:noProof/>
            <w:webHidden/>
          </w:rPr>
        </w:r>
        <w:r w:rsidR="004A7429">
          <w:rPr>
            <w:noProof/>
            <w:webHidden/>
          </w:rPr>
          <w:fldChar w:fldCharType="separate"/>
        </w:r>
        <w:r w:rsidR="00BE3E90">
          <w:rPr>
            <w:noProof/>
            <w:webHidden/>
          </w:rPr>
          <w:t>24</w:t>
        </w:r>
        <w:r w:rsidR="004A7429">
          <w:rPr>
            <w:noProof/>
            <w:webHidden/>
          </w:rPr>
          <w:fldChar w:fldCharType="end"/>
        </w:r>
      </w:hyperlink>
    </w:p>
    <w:p w14:paraId="51B0A8DB" w14:textId="173E42D0" w:rsidR="004A7429" w:rsidRPr="00C72DF1" w:rsidRDefault="00000000" w:rsidP="00C72DF1">
      <w:pPr>
        <w:pStyle w:val="TOC2"/>
        <w:rPr>
          <w:rFonts w:eastAsiaTheme="minorEastAsia"/>
          <w:noProof/>
          <w:sz w:val="22"/>
          <w:szCs w:val="22"/>
        </w:rPr>
      </w:pPr>
      <w:hyperlink w:anchor="_Toc134117637" w:history="1">
        <w:r w:rsidR="004A7429" w:rsidRPr="00B235DF">
          <w:rPr>
            <w:rStyle w:val="Hyperlink"/>
            <w:i/>
            <w:iCs/>
            <w:noProof/>
          </w:rPr>
          <w:t>A.</w:t>
        </w:r>
        <w:r w:rsidR="004A7429" w:rsidRPr="00C72DF1">
          <w:rPr>
            <w:rFonts w:eastAsiaTheme="minorEastAsia"/>
            <w:noProof/>
            <w:sz w:val="22"/>
            <w:szCs w:val="22"/>
          </w:rPr>
          <w:tab/>
        </w:r>
        <w:r w:rsidR="004A7429" w:rsidRPr="00B235DF">
          <w:rPr>
            <w:rStyle w:val="Hyperlink"/>
            <w:i/>
            <w:iCs/>
            <w:noProof/>
          </w:rPr>
          <w:t>Long Term Services and Supports</w:t>
        </w:r>
        <w:r w:rsidR="004A7429" w:rsidRPr="00C72DF1">
          <w:rPr>
            <w:noProof/>
            <w:webHidden/>
          </w:rPr>
          <w:tab/>
        </w:r>
        <w:r w:rsidR="004A7429" w:rsidRPr="00C72DF1">
          <w:rPr>
            <w:noProof/>
            <w:webHidden/>
          </w:rPr>
          <w:fldChar w:fldCharType="begin"/>
        </w:r>
        <w:r w:rsidR="004A7429" w:rsidRPr="00C72DF1">
          <w:rPr>
            <w:noProof/>
            <w:webHidden/>
          </w:rPr>
          <w:instrText xml:space="preserve"> PAGEREF _Toc134117637 \h </w:instrText>
        </w:r>
        <w:r w:rsidR="004A7429" w:rsidRPr="00C72DF1">
          <w:rPr>
            <w:noProof/>
            <w:webHidden/>
          </w:rPr>
        </w:r>
        <w:r w:rsidR="004A7429" w:rsidRPr="00C72DF1">
          <w:rPr>
            <w:noProof/>
            <w:webHidden/>
          </w:rPr>
          <w:fldChar w:fldCharType="separate"/>
        </w:r>
        <w:r w:rsidR="00BE3E90">
          <w:rPr>
            <w:noProof/>
            <w:webHidden/>
          </w:rPr>
          <w:t>24</w:t>
        </w:r>
        <w:r w:rsidR="004A7429" w:rsidRPr="00C72DF1">
          <w:rPr>
            <w:noProof/>
            <w:webHidden/>
          </w:rPr>
          <w:fldChar w:fldCharType="end"/>
        </w:r>
      </w:hyperlink>
    </w:p>
    <w:p w14:paraId="014AC201" w14:textId="75EA15CE" w:rsidR="004A7429" w:rsidRDefault="00000000" w:rsidP="00B235DF">
      <w:pPr>
        <w:pStyle w:val="TOC1"/>
        <w:rPr>
          <w:rFonts w:eastAsiaTheme="minorEastAsia"/>
          <w:noProof/>
          <w:sz w:val="22"/>
          <w:szCs w:val="22"/>
        </w:rPr>
      </w:pPr>
      <w:hyperlink w:anchor="_Toc134117638" w:history="1">
        <w:r w:rsidR="004A7429" w:rsidRPr="00B85C1B">
          <w:rPr>
            <w:rStyle w:val="Hyperlink"/>
            <w:noProof/>
            <w:kern w:val="24"/>
          </w:rPr>
          <w:t>VI.</w:t>
        </w:r>
        <w:r w:rsidR="004A7429">
          <w:rPr>
            <w:rFonts w:eastAsiaTheme="minorEastAsia"/>
            <w:noProof/>
            <w:sz w:val="22"/>
            <w:szCs w:val="22"/>
          </w:rPr>
          <w:tab/>
        </w:r>
        <w:r w:rsidR="004A7429" w:rsidRPr="00B85C1B">
          <w:rPr>
            <w:rStyle w:val="Hyperlink"/>
            <w:noProof/>
          </w:rPr>
          <w:t>YES Waiver</w:t>
        </w:r>
        <w:r w:rsidR="004A7429">
          <w:rPr>
            <w:noProof/>
            <w:webHidden/>
          </w:rPr>
          <w:tab/>
        </w:r>
        <w:r w:rsidR="004A7429">
          <w:rPr>
            <w:noProof/>
            <w:webHidden/>
          </w:rPr>
          <w:fldChar w:fldCharType="begin"/>
        </w:r>
        <w:r w:rsidR="004A7429">
          <w:rPr>
            <w:noProof/>
            <w:webHidden/>
          </w:rPr>
          <w:instrText xml:space="preserve"> PAGEREF _Toc134117638 \h </w:instrText>
        </w:r>
        <w:r w:rsidR="004A7429">
          <w:rPr>
            <w:noProof/>
            <w:webHidden/>
          </w:rPr>
        </w:r>
        <w:r w:rsidR="004A7429">
          <w:rPr>
            <w:noProof/>
            <w:webHidden/>
          </w:rPr>
          <w:fldChar w:fldCharType="separate"/>
        </w:r>
        <w:r w:rsidR="00BE3E90">
          <w:rPr>
            <w:noProof/>
            <w:webHidden/>
          </w:rPr>
          <w:t>25</w:t>
        </w:r>
        <w:r w:rsidR="004A7429">
          <w:rPr>
            <w:noProof/>
            <w:webHidden/>
          </w:rPr>
          <w:fldChar w:fldCharType="end"/>
        </w:r>
      </w:hyperlink>
    </w:p>
    <w:p w14:paraId="2C014C7F" w14:textId="0CB1C4D6" w:rsidR="004A7429" w:rsidRPr="00B235DF" w:rsidRDefault="00000000" w:rsidP="00C72DF1">
      <w:pPr>
        <w:pStyle w:val="TOC2"/>
        <w:rPr>
          <w:rFonts w:eastAsiaTheme="minorEastAsia"/>
          <w:i/>
          <w:iCs/>
          <w:noProof/>
          <w:sz w:val="22"/>
          <w:szCs w:val="22"/>
        </w:rPr>
      </w:pPr>
      <w:hyperlink w:anchor="_Toc134117639" w:history="1">
        <w:r w:rsidR="004A7429" w:rsidRPr="00B235DF">
          <w:rPr>
            <w:rStyle w:val="Hyperlink"/>
            <w:i/>
            <w:iCs/>
            <w:noProof/>
          </w:rPr>
          <w:t>A.</w:t>
        </w:r>
        <w:r w:rsidR="004A7429" w:rsidRPr="00B235DF">
          <w:rPr>
            <w:rFonts w:eastAsiaTheme="minorEastAsia"/>
            <w:i/>
            <w:iCs/>
            <w:noProof/>
            <w:sz w:val="22"/>
            <w:szCs w:val="22"/>
          </w:rPr>
          <w:tab/>
        </w:r>
        <w:r w:rsidR="004A7429" w:rsidRPr="00B235DF">
          <w:rPr>
            <w:rStyle w:val="Hyperlink"/>
            <w:i/>
            <w:iCs/>
            <w:noProof/>
          </w:rPr>
          <w:t>Inquiry List Submission</w:t>
        </w:r>
        <w:r w:rsidR="004A7429" w:rsidRPr="00B235DF">
          <w:rPr>
            <w:i/>
            <w:iCs/>
            <w:noProof/>
            <w:webHidden/>
          </w:rPr>
          <w:tab/>
        </w:r>
        <w:r w:rsidR="004A7429" w:rsidRPr="00B235DF">
          <w:rPr>
            <w:i/>
            <w:iCs/>
            <w:noProof/>
            <w:webHidden/>
          </w:rPr>
          <w:fldChar w:fldCharType="begin"/>
        </w:r>
        <w:r w:rsidR="004A7429" w:rsidRPr="00B235DF">
          <w:rPr>
            <w:i/>
            <w:iCs/>
            <w:noProof/>
            <w:webHidden/>
          </w:rPr>
          <w:instrText xml:space="preserve"> PAGEREF _Toc134117639 \h </w:instrText>
        </w:r>
        <w:r w:rsidR="004A7429" w:rsidRPr="00B235DF">
          <w:rPr>
            <w:i/>
            <w:iCs/>
            <w:noProof/>
            <w:webHidden/>
          </w:rPr>
        </w:r>
        <w:r w:rsidR="004A7429" w:rsidRPr="00B235DF">
          <w:rPr>
            <w:i/>
            <w:iCs/>
            <w:noProof/>
            <w:webHidden/>
          </w:rPr>
          <w:fldChar w:fldCharType="separate"/>
        </w:r>
        <w:r w:rsidR="00BE3E90">
          <w:rPr>
            <w:i/>
            <w:iCs/>
            <w:noProof/>
            <w:webHidden/>
          </w:rPr>
          <w:t>25</w:t>
        </w:r>
        <w:r w:rsidR="004A7429" w:rsidRPr="00B235DF">
          <w:rPr>
            <w:i/>
            <w:iCs/>
            <w:noProof/>
            <w:webHidden/>
          </w:rPr>
          <w:fldChar w:fldCharType="end"/>
        </w:r>
      </w:hyperlink>
    </w:p>
    <w:p w14:paraId="48E07D74" w14:textId="12113D2E" w:rsidR="004A7429" w:rsidRPr="00B235DF" w:rsidRDefault="00000000" w:rsidP="00C72DF1">
      <w:pPr>
        <w:pStyle w:val="TOC2"/>
        <w:rPr>
          <w:rFonts w:eastAsiaTheme="minorEastAsia"/>
          <w:i/>
          <w:iCs/>
          <w:noProof/>
          <w:sz w:val="22"/>
          <w:szCs w:val="22"/>
        </w:rPr>
      </w:pPr>
      <w:hyperlink w:anchor="_Toc134117640" w:history="1">
        <w:r w:rsidR="004A7429" w:rsidRPr="00B235DF">
          <w:rPr>
            <w:rStyle w:val="Hyperlink"/>
            <w:i/>
            <w:iCs/>
            <w:noProof/>
          </w:rPr>
          <w:t>B.</w:t>
        </w:r>
        <w:r w:rsidR="004A7429" w:rsidRPr="00B235DF">
          <w:rPr>
            <w:rFonts w:eastAsiaTheme="minorEastAsia"/>
            <w:i/>
            <w:iCs/>
            <w:noProof/>
            <w:sz w:val="22"/>
            <w:szCs w:val="22"/>
          </w:rPr>
          <w:tab/>
        </w:r>
        <w:r w:rsidR="004A7429" w:rsidRPr="00B235DF">
          <w:rPr>
            <w:rStyle w:val="Hyperlink"/>
            <w:i/>
            <w:iCs/>
            <w:noProof/>
          </w:rPr>
          <w:t>Inquiry List – Clinical Eligibility Assessment</w:t>
        </w:r>
        <w:r w:rsidR="004A7429" w:rsidRPr="00B235DF">
          <w:rPr>
            <w:i/>
            <w:iCs/>
            <w:noProof/>
            <w:webHidden/>
          </w:rPr>
          <w:tab/>
        </w:r>
        <w:r w:rsidR="004A7429" w:rsidRPr="00B235DF">
          <w:rPr>
            <w:i/>
            <w:iCs/>
            <w:noProof/>
            <w:webHidden/>
          </w:rPr>
          <w:fldChar w:fldCharType="begin"/>
        </w:r>
        <w:r w:rsidR="004A7429" w:rsidRPr="00B235DF">
          <w:rPr>
            <w:i/>
            <w:iCs/>
            <w:noProof/>
            <w:webHidden/>
          </w:rPr>
          <w:instrText xml:space="preserve"> PAGEREF _Toc134117640 \h </w:instrText>
        </w:r>
        <w:r w:rsidR="004A7429" w:rsidRPr="00B235DF">
          <w:rPr>
            <w:i/>
            <w:iCs/>
            <w:noProof/>
            <w:webHidden/>
          </w:rPr>
        </w:r>
        <w:r w:rsidR="004A7429" w:rsidRPr="00B235DF">
          <w:rPr>
            <w:i/>
            <w:iCs/>
            <w:noProof/>
            <w:webHidden/>
          </w:rPr>
          <w:fldChar w:fldCharType="separate"/>
        </w:r>
        <w:r w:rsidR="00BE3E90">
          <w:rPr>
            <w:i/>
            <w:iCs/>
            <w:noProof/>
            <w:webHidden/>
          </w:rPr>
          <w:t>25</w:t>
        </w:r>
        <w:r w:rsidR="004A7429" w:rsidRPr="00B235DF">
          <w:rPr>
            <w:i/>
            <w:iCs/>
            <w:noProof/>
            <w:webHidden/>
          </w:rPr>
          <w:fldChar w:fldCharType="end"/>
        </w:r>
      </w:hyperlink>
    </w:p>
    <w:p w14:paraId="67399DE6" w14:textId="492B5F64" w:rsidR="004A7429" w:rsidRPr="00B235DF" w:rsidRDefault="00000000" w:rsidP="00C72DF1">
      <w:pPr>
        <w:pStyle w:val="TOC2"/>
        <w:rPr>
          <w:rFonts w:eastAsiaTheme="minorEastAsia"/>
          <w:i/>
          <w:iCs/>
          <w:noProof/>
          <w:sz w:val="22"/>
          <w:szCs w:val="22"/>
        </w:rPr>
      </w:pPr>
      <w:hyperlink w:anchor="_Toc134117641" w:history="1">
        <w:r w:rsidR="004A7429" w:rsidRPr="00B235DF">
          <w:rPr>
            <w:rStyle w:val="Hyperlink"/>
            <w:i/>
            <w:iCs/>
            <w:noProof/>
          </w:rPr>
          <w:t>C.</w:t>
        </w:r>
        <w:r w:rsidR="004A7429" w:rsidRPr="00B235DF">
          <w:rPr>
            <w:rFonts w:eastAsiaTheme="minorEastAsia"/>
            <w:i/>
            <w:iCs/>
            <w:noProof/>
            <w:sz w:val="22"/>
            <w:szCs w:val="22"/>
          </w:rPr>
          <w:tab/>
        </w:r>
        <w:r w:rsidR="004A7429" w:rsidRPr="00B235DF">
          <w:rPr>
            <w:rStyle w:val="Hyperlink"/>
            <w:i/>
            <w:iCs/>
            <w:noProof/>
          </w:rPr>
          <w:t>Inquiry List – Return Calls</w:t>
        </w:r>
        <w:r w:rsidR="004A7429" w:rsidRPr="00B235DF">
          <w:rPr>
            <w:i/>
            <w:iCs/>
            <w:noProof/>
            <w:webHidden/>
          </w:rPr>
          <w:tab/>
        </w:r>
        <w:r w:rsidR="004A7429" w:rsidRPr="00B235DF">
          <w:rPr>
            <w:i/>
            <w:iCs/>
            <w:noProof/>
            <w:webHidden/>
          </w:rPr>
          <w:fldChar w:fldCharType="begin"/>
        </w:r>
        <w:r w:rsidR="004A7429" w:rsidRPr="00B235DF">
          <w:rPr>
            <w:i/>
            <w:iCs/>
            <w:noProof/>
            <w:webHidden/>
          </w:rPr>
          <w:instrText xml:space="preserve"> PAGEREF _Toc134117641 \h </w:instrText>
        </w:r>
        <w:r w:rsidR="004A7429" w:rsidRPr="00B235DF">
          <w:rPr>
            <w:i/>
            <w:iCs/>
            <w:noProof/>
            <w:webHidden/>
          </w:rPr>
        </w:r>
        <w:r w:rsidR="004A7429" w:rsidRPr="00B235DF">
          <w:rPr>
            <w:i/>
            <w:iCs/>
            <w:noProof/>
            <w:webHidden/>
          </w:rPr>
          <w:fldChar w:fldCharType="separate"/>
        </w:r>
        <w:r w:rsidR="00BE3E90">
          <w:rPr>
            <w:i/>
            <w:iCs/>
            <w:noProof/>
            <w:webHidden/>
          </w:rPr>
          <w:t>26</w:t>
        </w:r>
        <w:r w:rsidR="004A7429" w:rsidRPr="00B235DF">
          <w:rPr>
            <w:i/>
            <w:iCs/>
            <w:noProof/>
            <w:webHidden/>
          </w:rPr>
          <w:fldChar w:fldCharType="end"/>
        </w:r>
      </w:hyperlink>
    </w:p>
    <w:p w14:paraId="286B5F1E" w14:textId="6E0DC4D6" w:rsidR="004A7429" w:rsidRPr="00B235DF" w:rsidRDefault="00000000" w:rsidP="00C72DF1">
      <w:pPr>
        <w:pStyle w:val="TOC2"/>
        <w:rPr>
          <w:rFonts w:eastAsiaTheme="minorEastAsia"/>
          <w:i/>
          <w:iCs/>
          <w:noProof/>
          <w:sz w:val="22"/>
          <w:szCs w:val="22"/>
        </w:rPr>
      </w:pPr>
      <w:hyperlink w:anchor="_Toc134117642" w:history="1">
        <w:r w:rsidR="004A7429" w:rsidRPr="00B235DF">
          <w:rPr>
            <w:rStyle w:val="Hyperlink"/>
            <w:i/>
            <w:iCs/>
            <w:noProof/>
          </w:rPr>
          <w:t>D.</w:t>
        </w:r>
        <w:r w:rsidR="004A7429" w:rsidRPr="00B235DF">
          <w:rPr>
            <w:rFonts w:eastAsiaTheme="minorEastAsia"/>
            <w:i/>
            <w:iCs/>
            <w:noProof/>
            <w:sz w:val="22"/>
            <w:szCs w:val="22"/>
          </w:rPr>
          <w:tab/>
        </w:r>
        <w:r w:rsidR="004A7429" w:rsidRPr="00B235DF">
          <w:rPr>
            <w:rStyle w:val="Hyperlink"/>
            <w:i/>
            <w:iCs/>
            <w:noProof/>
          </w:rPr>
          <w:t>Critical Incident Reporting</w:t>
        </w:r>
        <w:r w:rsidR="004A7429" w:rsidRPr="00B235DF">
          <w:rPr>
            <w:i/>
            <w:iCs/>
            <w:noProof/>
            <w:webHidden/>
          </w:rPr>
          <w:tab/>
        </w:r>
        <w:r w:rsidR="004A7429" w:rsidRPr="00B235DF">
          <w:rPr>
            <w:i/>
            <w:iCs/>
            <w:noProof/>
            <w:webHidden/>
          </w:rPr>
          <w:fldChar w:fldCharType="begin"/>
        </w:r>
        <w:r w:rsidR="004A7429" w:rsidRPr="00B235DF">
          <w:rPr>
            <w:i/>
            <w:iCs/>
            <w:noProof/>
            <w:webHidden/>
          </w:rPr>
          <w:instrText xml:space="preserve"> PAGEREF _Toc134117642 \h </w:instrText>
        </w:r>
        <w:r w:rsidR="004A7429" w:rsidRPr="00B235DF">
          <w:rPr>
            <w:i/>
            <w:iCs/>
            <w:noProof/>
            <w:webHidden/>
          </w:rPr>
        </w:r>
        <w:r w:rsidR="004A7429" w:rsidRPr="00B235DF">
          <w:rPr>
            <w:i/>
            <w:iCs/>
            <w:noProof/>
            <w:webHidden/>
          </w:rPr>
          <w:fldChar w:fldCharType="separate"/>
        </w:r>
        <w:r w:rsidR="00BE3E90">
          <w:rPr>
            <w:i/>
            <w:iCs/>
            <w:noProof/>
            <w:webHidden/>
          </w:rPr>
          <w:t>26</w:t>
        </w:r>
        <w:r w:rsidR="004A7429" w:rsidRPr="00B235DF">
          <w:rPr>
            <w:i/>
            <w:iCs/>
            <w:noProof/>
            <w:webHidden/>
          </w:rPr>
          <w:fldChar w:fldCharType="end"/>
        </w:r>
      </w:hyperlink>
    </w:p>
    <w:p w14:paraId="3A2CBE37" w14:textId="76322DC5" w:rsidR="004A7429" w:rsidRPr="00B235DF" w:rsidRDefault="00000000" w:rsidP="00C72DF1">
      <w:pPr>
        <w:pStyle w:val="TOC2"/>
        <w:rPr>
          <w:rFonts w:eastAsiaTheme="minorEastAsia"/>
          <w:i/>
          <w:iCs/>
          <w:noProof/>
          <w:sz w:val="22"/>
          <w:szCs w:val="22"/>
        </w:rPr>
      </w:pPr>
      <w:hyperlink w:anchor="_Toc134117643" w:history="1">
        <w:r w:rsidR="004A7429" w:rsidRPr="00B235DF">
          <w:rPr>
            <w:rStyle w:val="Hyperlink"/>
            <w:i/>
            <w:iCs/>
            <w:noProof/>
          </w:rPr>
          <w:t>E.</w:t>
        </w:r>
        <w:r w:rsidR="004A7429" w:rsidRPr="00B235DF">
          <w:rPr>
            <w:rFonts w:eastAsiaTheme="minorEastAsia"/>
            <w:i/>
            <w:iCs/>
            <w:noProof/>
            <w:sz w:val="22"/>
            <w:szCs w:val="22"/>
          </w:rPr>
          <w:tab/>
        </w:r>
        <w:r w:rsidR="004A7429" w:rsidRPr="00B235DF">
          <w:rPr>
            <w:rStyle w:val="Hyperlink"/>
            <w:i/>
            <w:iCs/>
            <w:noProof/>
          </w:rPr>
          <w:t>Wraparound Provider Organization Caseload Ratios</w:t>
        </w:r>
        <w:r w:rsidR="004A7429" w:rsidRPr="00B235DF">
          <w:rPr>
            <w:i/>
            <w:iCs/>
            <w:noProof/>
            <w:webHidden/>
          </w:rPr>
          <w:tab/>
        </w:r>
        <w:r w:rsidR="004A7429" w:rsidRPr="00B235DF">
          <w:rPr>
            <w:i/>
            <w:iCs/>
            <w:noProof/>
            <w:webHidden/>
          </w:rPr>
          <w:fldChar w:fldCharType="begin"/>
        </w:r>
        <w:r w:rsidR="004A7429" w:rsidRPr="00B235DF">
          <w:rPr>
            <w:i/>
            <w:iCs/>
            <w:noProof/>
            <w:webHidden/>
          </w:rPr>
          <w:instrText xml:space="preserve"> PAGEREF _Toc134117643 \h </w:instrText>
        </w:r>
        <w:r w:rsidR="004A7429" w:rsidRPr="00B235DF">
          <w:rPr>
            <w:i/>
            <w:iCs/>
            <w:noProof/>
            <w:webHidden/>
          </w:rPr>
        </w:r>
        <w:r w:rsidR="004A7429" w:rsidRPr="00B235DF">
          <w:rPr>
            <w:i/>
            <w:iCs/>
            <w:noProof/>
            <w:webHidden/>
          </w:rPr>
          <w:fldChar w:fldCharType="separate"/>
        </w:r>
        <w:r w:rsidR="00BE3E90">
          <w:rPr>
            <w:i/>
            <w:iCs/>
            <w:noProof/>
            <w:webHidden/>
          </w:rPr>
          <w:t>27</w:t>
        </w:r>
        <w:r w:rsidR="004A7429" w:rsidRPr="00B235DF">
          <w:rPr>
            <w:i/>
            <w:iCs/>
            <w:noProof/>
            <w:webHidden/>
          </w:rPr>
          <w:fldChar w:fldCharType="end"/>
        </w:r>
      </w:hyperlink>
    </w:p>
    <w:p w14:paraId="618A2649" w14:textId="324FBC0A" w:rsidR="004A7429" w:rsidRPr="00B235DF" w:rsidRDefault="00000000" w:rsidP="00C72DF1">
      <w:pPr>
        <w:pStyle w:val="TOC2"/>
        <w:rPr>
          <w:rFonts w:eastAsiaTheme="minorEastAsia"/>
          <w:i/>
          <w:iCs/>
          <w:noProof/>
          <w:sz w:val="22"/>
          <w:szCs w:val="22"/>
        </w:rPr>
      </w:pPr>
      <w:hyperlink w:anchor="_Toc134117644" w:history="1">
        <w:r w:rsidR="004A7429" w:rsidRPr="00B235DF">
          <w:rPr>
            <w:rStyle w:val="Hyperlink"/>
            <w:i/>
            <w:iCs/>
            <w:noProof/>
          </w:rPr>
          <w:t>F.</w:t>
        </w:r>
        <w:r w:rsidR="004A7429" w:rsidRPr="00B235DF">
          <w:rPr>
            <w:rFonts w:eastAsiaTheme="minorEastAsia"/>
            <w:i/>
            <w:iCs/>
            <w:noProof/>
            <w:sz w:val="22"/>
            <w:szCs w:val="22"/>
          </w:rPr>
          <w:tab/>
        </w:r>
        <w:r w:rsidR="004A7429" w:rsidRPr="00B235DF">
          <w:rPr>
            <w:rStyle w:val="Hyperlink"/>
            <w:i/>
            <w:iCs/>
            <w:noProof/>
          </w:rPr>
          <w:t>Transition Plan Development and Submission</w:t>
        </w:r>
        <w:r w:rsidR="004A7429" w:rsidRPr="00B235DF">
          <w:rPr>
            <w:i/>
            <w:iCs/>
            <w:noProof/>
            <w:webHidden/>
          </w:rPr>
          <w:tab/>
        </w:r>
        <w:r w:rsidR="004A7429" w:rsidRPr="00B235DF">
          <w:rPr>
            <w:i/>
            <w:iCs/>
            <w:noProof/>
            <w:webHidden/>
          </w:rPr>
          <w:fldChar w:fldCharType="begin"/>
        </w:r>
        <w:r w:rsidR="004A7429" w:rsidRPr="00B235DF">
          <w:rPr>
            <w:i/>
            <w:iCs/>
            <w:noProof/>
            <w:webHidden/>
          </w:rPr>
          <w:instrText xml:space="preserve"> PAGEREF _Toc134117644 \h </w:instrText>
        </w:r>
        <w:r w:rsidR="004A7429" w:rsidRPr="00B235DF">
          <w:rPr>
            <w:i/>
            <w:iCs/>
            <w:noProof/>
            <w:webHidden/>
          </w:rPr>
        </w:r>
        <w:r w:rsidR="004A7429" w:rsidRPr="00B235DF">
          <w:rPr>
            <w:i/>
            <w:iCs/>
            <w:noProof/>
            <w:webHidden/>
          </w:rPr>
          <w:fldChar w:fldCharType="separate"/>
        </w:r>
        <w:r w:rsidR="00BE3E90">
          <w:rPr>
            <w:i/>
            <w:iCs/>
            <w:noProof/>
            <w:webHidden/>
          </w:rPr>
          <w:t>27</w:t>
        </w:r>
        <w:r w:rsidR="004A7429" w:rsidRPr="00B235DF">
          <w:rPr>
            <w:i/>
            <w:iCs/>
            <w:noProof/>
            <w:webHidden/>
          </w:rPr>
          <w:fldChar w:fldCharType="end"/>
        </w:r>
      </w:hyperlink>
    </w:p>
    <w:p w14:paraId="0BEBA45A" w14:textId="31DDF10C" w:rsidR="004A7429" w:rsidRPr="00B235DF" w:rsidRDefault="00000000" w:rsidP="00C72DF1">
      <w:pPr>
        <w:pStyle w:val="TOC2"/>
        <w:rPr>
          <w:rFonts w:eastAsiaTheme="minorEastAsia"/>
          <w:i/>
          <w:iCs/>
          <w:noProof/>
          <w:sz w:val="22"/>
          <w:szCs w:val="22"/>
        </w:rPr>
      </w:pPr>
      <w:hyperlink w:anchor="_Toc134117645" w:history="1">
        <w:r w:rsidR="004A7429" w:rsidRPr="00B235DF">
          <w:rPr>
            <w:rStyle w:val="Hyperlink"/>
            <w:i/>
            <w:iCs/>
            <w:noProof/>
          </w:rPr>
          <w:t>G.</w:t>
        </w:r>
        <w:r w:rsidR="004A7429" w:rsidRPr="00B235DF">
          <w:rPr>
            <w:rFonts w:eastAsiaTheme="minorEastAsia"/>
            <w:i/>
            <w:iCs/>
            <w:noProof/>
            <w:sz w:val="22"/>
            <w:szCs w:val="22"/>
          </w:rPr>
          <w:tab/>
        </w:r>
        <w:r w:rsidR="004A7429" w:rsidRPr="00B235DF">
          <w:rPr>
            <w:rStyle w:val="Hyperlink"/>
            <w:i/>
            <w:iCs/>
            <w:noProof/>
          </w:rPr>
          <w:t>Wraparound Staff Training and Credentialing</w:t>
        </w:r>
        <w:r w:rsidR="004A7429" w:rsidRPr="00B235DF">
          <w:rPr>
            <w:i/>
            <w:iCs/>
            <w:noProof/>
            <w:webHidden/>
          </w:rPr>
          <w:tab/>
        </w:r>
        <w:r w:rsidR="004A7429" w:rsidRPr="00B235DF">
          <w:rPr>
            <w:i/>
            <w:iCs/>
            <w:noProof/>
            <w:webHidden/>
          </w:rPr>
          <w:fldChar w:fldCharType="begin"/>
        </w:r>
        <w:r w:rsidR="004A7429" w:rsidRPr="00B235DF">
          <w:rPr>
            <w:i/>
            <w:iCs/>
            <w:noProof/>
            <w:webHidden/>
          </w:rPr>
          <w:instrText xml:space="preserve"> PAGEREF _Toc134117645 \h </w:instrText>
        </w:r>
        <w:r w:rsidR="004A7429" w:rsidRPr="00B235DF">
          <w:rPr>
            <w:i/>
            <w:iCs/>
            <w:noProof/>
            <w:webHidden/>
          </w:rPr>
        </w:r>
        <w:r w:rsidR="004A7429" w:rsidRPr="00B235DF">
          <w:rPr>
            <w:i/>
            <w:iCs/>
            <w:noProof/>
            <w:webHidden/>
          </w:rPr>
          <w:fldChar w:fldCharType="separate"/>
        </w:r>
        <w:r w:rsidR="00BE3E90">
          <w:rPr>
            <w:i/>
            <w:iCs/>
            <w:noProof/>
            <w:webHidden/>
          </w:rPr>
          <w:t>28</w:t>
        </w:r>
        <w:r w:rsidR="004A7429" w:rsidRPr="00B235DF">
          <w:rPr>
            <w:i/>
            <w:iCs/>
            <w:noProof/>
            <w:webHidden/>
          </w:rPr>
          <w:fldChar w:fldCharType="end"/>
        </w:r>
      </w:hyperlink>
    </w:p>
    <w:p w14:paraId="6A0CBE66" w14:textId="6934EB7F" w:rsidR="004A7429" w:rsidRDefault="00000000" w:rsidP="00B235DF">
      <w:pPr>
        <w:pStyle w:val="TOC1"/>
        <w:rPr>
          <w:rFonts w:eastAsiaTheme="minorEastAsia"/>
          <w:noProof/>
          <w:sz w:val="22"/>
          <w:szCs w:val="22"/>
        </w:rPr>
      </w:pPr>
      <w:hyperlink w:anchor="_Toc134117646" w:history="1">
        <w:r w:rsidR="004A7429" w:rsidRPr="00B85C1B">
          <w:rPr>
            <w:rStyle w:val="Hyperlink"/>
            <w:noProof/>
            <w:kern w:val="24"/>
          </w:rPr>
          <w:t>VII.</w:t>
        </w:r>
        <w:r w:rsidR="004A7429">
          <w:rPr>
            <w:rFonts w:eastAsiaTheme="minorEastAsia"/>
            <w:noProof/>
            <w:sz w:val="22"/>
            <w:szCs w:val="22"/>
          </w:rPr>
          <w:tab/>
        </w:r>
        <w:r w:rsidR="004A7429" w:rsidRPr="00B85C1B">
          <w:rPr>
            <w:rStyle w:val="Hyperlink"/>
            <w:noProof/>
          </w:rPr>
          <w:t>Uniform Assessment Instructions</w:t>
        </w:r>
        <w:r w:rsidR="004A7429">
          <w:rPr>
            <w:noProof/>
            <w:webHidden/>
          </w:rPr>
          <w:tab/>
        </w:r>
        <w:r w:rsidR="004A7429">
          <w:rPr>
            <w:noProof/>
            <w:webHidden/>
          </w:rPr>
          <w:fldChar w:fldCharType="begin"/>
        </w:r>
        <w:r w:rsidR="004A7429">
          <w:rPr>
            <w:noProof/>
            <w:webHidden/>
          </w:rPr>
          <w:instrText xml:space="preserve"> PAGEREF _Toc134117646 \h </w:instrText>
        </w:r>
        <w:r w:rsidR="004A7429">
          <w:rPr>
            <w:noProof/>
            <w:webHidden/>
          </w:rPr>
        </w:r>
        <w:r w:rsidR="004A7429">
          <w:rPr>
            <w:noProof/>
            <w:webHidden/>
          </w:rPr>
          <w:fldChar w:fldCharType="separate"/>
        </w:r>
        <w:r w:rsidR="00BE3E90">
          <w:rPr>
            <w:noProof/>
            <w:webHidden/>
          </w:rPr>
          <w:t>29</w:t>
        </w:r>
        <w:r w:rsidR="004A7429">
          <w:rPr>
            <w:noProof/>
            <w:webHidden/>
          </w:rPr>
          <w:fldChar w:fldCharType="end"/>
        </w:r>
      </w:hyperlink>
    </w:p>
    <w:p w14:paraId="05F1479E" w14:textId="34C7EB02" w:rsidR="004A7429" w:rsidRPr="00B235DF" w:rsidRDefault="00000000" w:rsidP="00C72DF1">
      <w:pPr>
        <w:pStyle w:val="TOC2"/>
        <w:rPr>
          <w:rFonts w:eastAsiaTheme="minorEastAsia"/>
          <w:i/>
          <w:iCs/>
          <w:noProof/>
          <w:sz w:val="22"/>
          <w:szCs w:val="22"/>
        </w:rPr>
      </w:pPr>
      <w:hyperlink w:anchor="_Toc134117647" w:history="1">
        <w:r w:rsidR="004A7429" w:rsidRPr="00B235DF">
          <w:rPr>
            <w:rStyle w:val="Hyperlink"/>
            <w:i/>
            <w:iCs/>
            <w:noProof/>
          </w:rPr>
          <w:t>A.</w:t>
        </w:r>
        <w:r w:rsidR="004A7429" w:rsidRPr="00B235DF">
          <w:rPr>
            <w:rFonts w:eastAsiaTheme="minorEastAsia"/>
            <w:i/>
            <w:iCs/>
            <w:noProof/>
            <w:sz w:val="22"/>
            <w:szCs w:val="22"/>
          </w:rPr>
          <w:tab/>
        </w:r>
        <w:r w:rsidR="004A7429" w:rsidRPr="00B235DF">
          <w:rPr>
            <w:rStyle w:val="Hyperlink"/>
            <w:i/>
            <w:iCs/>
            <w:noProof/>
          </w:rPr>
          <w:t>Adult Uniform Assessment (UA)</w:t>
        </w:r>
        <w:r w:rsidR="004A7429" w:rsidRPr="00B235DF">
          <w:rPr>
            <w:i/>
            <w:iCs/>
            <w:noProof/>
            <w:webHidden/>
          </w:rPr>
          <w:tab/>
        </w:r>
        <w:r w:rsidR="004A7429" w:rsidRPr="00B235DF">
          <w:rPr>
            <w:i/>
            <w:iCs/>
            <w:noProof/>
            <w:webHidden/>
          </w:rPr>
          <w:fldChar w:fldCharType="begin"/>
        </w:r>
        <w:r w:rsidR="004A7429" w:rsidRPr="00B235DF">
          <w:rPr>
            <w:i/>
            <w:iCs/>
            <w:noProof/>
            <w:webHidden/>
          </w:rPr>
          <w:instrText xml:space="preserve"> PAGEREF _Toc134117647 \h </w:instrText>
        </w:r>
        <w:r w:rsidR="004A7429" w:rsidRPr="00B235DF">
          <w:rPr>
            <w:i/>
            <w:iCs/>
            <w:noProof/>
            <w:webHidden/>
          </w:rPr>
        </w:r>
        <w:r w:rsidR="004A7429" w:rsidRPr="00B235DF">
          <w:rPr>
            <w:i/>
            <w:iCs/>
            <w:noProof/>
            <w:webHidden/>
          </w:rPr>
          <w:fldChar w:fldCharType="separate"/>
        </w:r>
        <w:r w:rsidR="00BE3E90">
          <w:rPr>
            <w:i/>
            <w:iCs/>
            <w:noProof/>
            <w:webHidden/>
          </w:rPr>
          <w:t>29</w:t>
        </w:r>
        <w:r w:rsidR="004A7429" w:rsidRPr="00B235DF">
          <w:rPr>
            <w:i/>
            <w:iCs/>
            <w:noProof/>
            <w:webHidden/>
          </w:rPr>
          <w:fldChar w:fldCharType="end"/>
        </w:r>
      </w:hyperlink>
    </w:p>
    <w:p w14:paraId="145535D8" w14:textId="3E1E3EB7" w:rsidR="004A7429" w:rsidRPr="00B235DF" w:rsidRDefault="00000000" w:rsidP="00C72DF1">
      <w:pPr>
        <w:pStyle w:val="TOC2"/>
        <w:rPr>
          <w:rFonts w:eastAsiaTheme="minorEastAsia"/>
          <w:i/>
          <w:iCs/>
          <w:noProof/>
          <w:sz w:val="22"/>
          <w:szCs w:val="22"/>
        </w:rPr>
      </w:pPr>
      <w:hyperlink w:anchor="_Toc134117648" w:history="1">
        <w:r w:rsidR="004A7429" w:rsidRPr="00B235DF">
          <w:rPr>
            <w:rStyle w:val="Hyperlink"/>
            <w:i/>
            <w:iCs/>
            <w:noProof/>
          </w:rPr>
          <w:t>B.</w:t>
        </w:r>
        <w:r w:rsidR="004A7429" w:rsidRPr="00B235DF">
          <w:rPr>
            <w:rFonts w:eastAsiaTheme="minorEastAsia"/>
            <w:i/>
            <w:iCs/>
            <w:noProof/>
            <w:sz w:val="22"/>
            <w:szCs w:val="22"/>
          </w:rPr>
          <w:tab/>
        </w:r>
        <w:r w:rsidR="004A7429" w:rsidRPr="00B235DF">
          <w:rPr>
            <w:rStyle w:val="Hyperlink"/>
            <w:i/>
            <w:iCs/>
            <w:noProof/>
          </w:rPr>
          <w:t>Child and Adolescent Uniform Assessment</w:t>
        </w:r>
        <w:r w:rsidR="004A7429" w:rsidRPr="00B235DF">
          <w:rPr>
            <w:i/>
            <w:iCs/>
            <w:noProof/>
            <w:webHidden/>
          </w:rPr>
          <w:tab/>
        </w:r>
        <w:r w:rsidR="004A7429" w:rsidRPr="00B235DF">
          <w:rPr>
            <w:i/>
            <w:iCs/>
            <w:noProof/>
            <w:webHidden/>
          </w:rPr>
          <w:fldChar w:fldCharType="begin"/>
        </w:r>
        <w:r w:rsidR="004A7429" w:rsidRPr="00B235DF">
          <w:rPr>
            <w:i/>
            <w:iCs/>
            <w:noProof/>
            <w:webHidden/>
          </w:rPr>
          <w:instrText xml:space="preserve"> PAGEREF _Toc134117648 \h </w:instrText>
        </w:r>
        <w:r w:rsidR="004A7429" w:rsidRPr="00B235DF">
          <w:rPr>
            <w:i/>
            <w:iCs/>
            <w:noProof/>
            <w:webHidden/>
          </w:rPr>
        </w:r>
        <w:r w:rsidR="004A7429" w:rsidRPr="00B235DF">
          <w:rPr>
            <w:i/>
            <w:iCs/>
            <w:noProof/>
            <w:webHidden/>
          </w:rPr>
          <w:fldChar w:fldCharType="separate"/>
        </w:r>
        <w:r w:rsidR="00BE3E90">
          <w:rPr>
            <w:i/>
            <w:iCs/>
            <w:noProof/>
            <w:webHidden/>
          </w:rPr>
          <w:t>30</w:t>
        </w:r>
        <w:r w:rsidR="004A7429" w:rsidRPr="00B235DF">
          <w:rPr>
            <w:i/>
            <w:iCs/>
            <w:noProof/>
            <w:webHidden/>
          </w:rPr>
          <w:fldChar w:fldCharType="end"/>
        </w:r>
      </w:hyperlink>
    </w:p>
    <w:p w14:paraId="23FF50D9" w14:textId="4CEE4B1E" w:rsidR="004A7429" w:rsidRDefault="00000000" w:rsidP="00B235DF">
      <w:pPr>
        <w:pStyle w:val="TOC1"/>
        <w:rPr>
          <w:rFonts w:eastAsiaTheme="minorEastAsia"/>
          <w:noProof/>
          <w:sz w:val="22"/>
          <w:szCs w:val="22"/>
        </w:rPr>
      </w:pPr>
      <w:hyperlink w:anchor="_Toc134117649" w:history="1">
        <w:r w:rsidR="004A7429" w:rsidRPr="00B85C1B">
          <w:rPr>
            <w:rStyle w:val="Hyperlink"/>
            <w:noProof/>
            <w:kern w:val="24"/>
          </w:rPr>
          <w:t>VIII.</w:t>
        </w:r>
        <w:r w:rsidR="004A7429">
          <w:rPr>
            <w:rFonts w:eastAsiaTheme="minorEastAsia"/>
            <w:noProof/>
            <w:sz w:val="22"/>
            <w:szCs w:val="22"/>
          </w:rPr>
          <w:tab/>
        </w:r>
        <w:r w:rsidR="004A7429" w:rsidRPr="00B85C1B">
          <w:rPr>
            <w:rStyle w:val="Hyperlink"/>
            <w:noProof/>
          </w:rPr>
          <w:t>Glossary of Terms</w:t>
        </w:r>
        <w:r w:rsidR="004A7429">
          <w:rPr>
            <w:noProof/>
            <w:webHidden/>
          </w:rPr>
          <w:tab/>
        </w:r>
        <w:r w:rsidR="004A7429">
          <w:rPr>
            <w:noProof/>
            <w:webHidden/>
          </w:rPr>
          <w:fldChar w:fldCharType="begin"/>
        </w:r>
        <w:r w:rsidR="004A7429">
          <w:rPr>
            <w:noProof/>
            <w:webHidden/>
          </w:rPr>
          <w:instrText xml:space="preserve"> PAGEREF _Toc134117649 \h </w:instrText>
        </w:r>
        <w:r w:rsidR="004A7429">
          <w:rPr>
            <w:noProof/>
            <w:webHidden/>
          </w:rPr>
        </w:r>
        <w:r w:rsidR="004A7429">
          <w:rPr>
            <w:noProof/>
            <w:webHidden/>
          </w:rPr>
          <w:fldChar w:fldCharType="separate"/>
        </w:r>
        <w:r w:rsidR="00BE3E90">
          <w:rPr>
            <w:noProof/>
            <w:webHidden/>
          </w:rPr>
          <w:t>33</w:t>
        </w:r>
        <w:r w:rsidR="004A7429">
          <w:rPr>
            <w:noProof/>
            <w:webHidden/>
          </w:rPr>
          <w:fldChar w:fldCharType="end"/>
        </w:r>
      </w:hyperlink>
    </w:p>
    <w:p w14:paraId="4AAE61CD" w14:textId="71326664" w:rsidR="0005264E" w:rsidRPr="00E33B17" w:rsidRDefault="004A7429" w:rsidP="00E33B17">
      <w:r>
        <w:lastRenderedPageBreak/>
        <w:fldChar w:fldCharType="end"/>
      </w:r>
    </w:p>
    <w:p w14:paraId="1EEAD8D4" w14:textId="4B96B4F3" w:rsidR="00076E0F" w:rsidRDefault="008D3402">
      <w:pPr>
        <w:pStyle w:val="Heading1"/>
      </w:pPr>
      <w:bookmarkStart w:id="0" w:name="_Toc134117471"/>
      <w:r w:rsidRPr="004A7429">
        <w:t>At-Risk</w:t>
      </w:r>
      <w:r w:rsidR="00D265D6" w:rsidRPr="004A7429">
        <w:t xml:space="preserve"> Measures</w:t>
      </w:r>
      <w:bookmarkEnd w:id="0"/>
    </w:p>
    <w:p w14:paraId="1D101EF5" w14:textId="12DBC42B" w:rsidR="00A901D6" w:rsidRDefault="00A901D6" w:rsidP="00C72DF1">
      <w:pPr>
        <w:spacing w:after="0"/>
        <w:rPr>
          <w:b/>
          <w:sz w:val="28"/>
          <w:szCs w:val="28"/>
        </w:rPr>
      </w:pPr>
    </w:p>
    <w:p w14:paraId="14016BFB" w14:textId="6923BE18" w:rsidR="00B235DF" w:rsidRDefault="00560B3E" w:rsidP="00B235DF">
      <w:r>
        <w:t xml:space="preserve">Unless otherwise noted below, </w:t>
      </w:r>
      <w:r w:rsidR="00B235DF">
        <w:t>At-Risk</w:t>
      </w:r>
      <w:r w:rsidR="00B235DF" w:rsidRPr="00BE3E90">
        <w:t xml:space="preserve"> measures shall be assessed 37 calendar days following the close of Quarter 2 (measuring Quarters 1 and 2) and Quarter 4 (Measuring Quarters 3 and 4). Quarters start September 1st of each year and end August 31st of each year. For each outcome target Grantee does not meet, HHSC shall recoup a percentage of Grantee’s general revenue funding for the current two quarters</w:t>
      </w:r>
      <w:r w:rsidR="0078213E" w:rsidRPr="00BE3E90">
        <w:t xml:space="preserve">. </w:t>
      </w:r>
      <w:r w:rsidR="00B235DF" w:rsidRPr="00BE3E90">
        <w:t xml:space="preserve">Grantees meeting all </w:t>
      </w:r>
      <w:r w:rsidR="00B235DF">
        <w:t>At-Risk</w:t>
      </w:r>
      <w:r w:rsidR="00B235DF" w:rsidRPr="00BE3E90">
        <w:t xml:space="preserve"> targets may be eligible for redistribution of recouped general revenue funds.</w:t>
      </w:r>
    </w:p>
    <w:p w14:paraId="5E07EC1F" w14:textId="77777777" w:rsidR="00B235DF" w:rsidRPr="00BE3E90" w:rsidRDefault="00B235DF" w:rsidP="00BE3E90"/>
    <w:p w14:paraId="328D1150" w14:textId="77777777" w:rsidR="001A45CE" w:rsidRPr="004A7429" w:rsidRDefault="001A45CE">
      <w:pPr>
        <w:pStyle w:val="Heading2"/>
        <w:rPr>
          <w:bCs/>
        </w:rPr>
      </w:pPr>
      <w:bookmarkStart w:id="1" w:name="_Toc134117156"/>
      <w:bookmarkStart w:id="2" w:name="_Toc134117472"/>
      <w:bookmarkStart w:id="3" w:name="_Toc134117473"/>
      <w:bookmarkEnd w:id="1"/>
      <w:bookmarkEnd w:id="2"/>
      <w:r w:rsidRPr="004A7429">
        <w:rPr>
          <w:bCs/>
        </w:rPr>
        <w:t>Adult Improvement</w:t>
      </w:r>
      <w:bookmarkEnd w:id="3"/>
    </w:p>
    <w:p w14:paraId="68DDEACC" w14:textId="2726B5E6" w:rsidR="00146B43" w:rsidRPr="0090651D" w:rsidRDefault="007B3039">
      <w:pPr>
        <w:pStyle w:val="ListParagraph"/>
        <w:numPr>
          <w:ilvl w:val="2"/>
          <w:numId w:val="6"/>
        </w:numPr>
        <w:spacing w:before="120" w:after="120"/>
      </w:pPr>
      <w:r w:rsidRPr="0090651D">
        <w:t>Target</w:t>
      </w:r>
      <w:r w:rsidRPr="00E33B17">
        <w:t xml:space="preserve">: </w:t>
      </w:r>
      <w:r w:rsidR="00D12189" w:rsidRPr="00E33B17">
        <w:t xml:space="preserve">At least </w:t>
      </w:r>
      <w:r w:rsidRPr="00E33B17">
        <w:t>20.0% of adults authorized in a F</w:t>
      </w:r>
      <w:r w:rsidR="00A06137" w:rsidRPr="00E33B17">
        <w:t>ull Level of Care (F</w:t>
      </w:r>
      <w:r w:rsidRPr="00E33B17">
        <w:t>LOC</w:t>
      </w:r>
      <w:r w:rsidR="00E629BD" w:rsidRPr="00E33B17">
        <w:t>)</w:t>
      </w:r>
      <w:r w:rsidRPr="00E33B17">
        <w:t xml:space="preserve"> shall show improvement in at least one of the following ANSA domains/modules: Risk Behaviors, Behavioral Health Needs, Life Domain </w:t>
      </w:r>
      <w:r w:rsidRPr="0090651D">
        <w:t>Functioning</w:t>
      </w:r>
      <w:r w:rsidRPr="00E33B17">
        <w:t xml:space="preserve">, Strengths, </w:t>
      </w:r>
      <w:r w:rsidR="00F1770B" w:rsidRPr="00E33B17">
        <w:t xml:space="preserve">Adjustment to Trauma, </w:t>
      </w:r>
      <w:r w:rsidRPr="00E33B17">
        <w:t>Substance U</w:t>
      </w:r>
      <w:r w:rsidR="00F1770B" w:rsidRPr="00E33B17">
        <w:t>se</w:t>
      </w:r>
      <w:r w:rsidRPr="00E33B17">
        <w:t xml:space="preserve">. </w:t>
      </w:r>
    </w:p>
    <w:p w14:paraId="248591EA" w14:textId="1B65069E" w:rsidR="007B3039" w:rsidRPr="00E33B17" w:rsidRDefault="007B3039">
      <w:pPr>
        <w:pStyle w:val="ListParagraph"/>
        <w:numPr>
          <w:ilvl w:val="2"/>
          <w:numId w:val="6"/>
        </w:numPr>
        <w:spacing w:before="120" w:after="120"/>
      </w:pPr>
      <w:r w:rsidRPr="00E33B17">
        <w:t>Calculation: (Numerator/Denominator</w:t>
      </w:r>
      <w:r w:rsidR="00C72DF1">
        <w:t xml:space="preserve">) * </w:t>
      </w:r>
      <w:r w:rsidRPr="00E33B17">
        <w:t>100</w:t>
      </w:r>
    </w:p>
    <w:p w14:paraId="333B96E0" w14:textId="351C7FF1" w:rsidR="007B3039" w:rsidRPr="00E33B17" w:rsidRDefault="00D87DD0">
      <w:pPr>
        <w:pStyle w:val="ListParagraph"/>
        <w:numPr>
          <w:ilvl w:val="2"/>
          <w:numId w:val="6"/>
        </w:numPr>
        <w:spacing w:before="120" w:after="120"/>
      </w:pPr>
      <w:r w:rsidRPr="00E33B17">
        <w:t xml:space="preserve">Numerator: </w:t>
      </w:r>
      <w:r w:rsidR="00197309" w:rsidRPr="00E33B17">
        <w:t>The n</w:t>
      </w:r>
      <w:r w:rsidRPr="00E33B17">
        <w:t xml:space="preserve">umber </w:t>
      </w:r>
      <w:r w:rsidR="00263EEE" w:rsidRPr="00E33B17">
        <w:t xml:space="preserve">with scores on the last </w:t>
      </w:r>
      <w:r w:rsidR="00673419" w:rsidRPr="00E33B17">
        <w:t>U</w:t>
      </w:r>
      <w:r w:rsidR="00E629BD" w:rsidRPr="00E33B17">
        <w:t>niform Assessment (U</w:t>
      </w:r>
      <w:r w:rsidR="00673419" w:rsidRPr="00E33B17">
        <w:t>A</w:t>
      </w:r>
      <w:r w:rsidR="00E629BD" w:rsidRPr="00E33B17">
        <w:t>)</w:t>
      </w:r>
      <w:r w:rsidR="00263EEE" w:rsidRPr="00E33B17">
        <w:t xml:space="preserve"> meeting or exceeding the R</w:t>
      </w:r>
      <w:r w:rsidR="00F3448D" w:rsidRPr="00E33B17">
        <w:t>eliable Change Index (R</w:t>
      </w:r>
      <w:r w:rsidR="00263EEE" w:rsidRPr="00E33B17">
        <w:t>CI</w:t>
      </w:r>
      <w:r w:rsidR="00F3448D" w:rsidRPr="00E33B17">
        <w:t>)</w:t>
      </w:r>
      <w:r w:rsidR="00263EEE" w:rsidRPr="00E33B17">
        <w:t xml:space="preserve"> in </w:t>
      </w:r>
      <w:r w:rsidR="00265BF9" w:rsidRPr="00E33B17">
        <w:t xml:space="preserve">the direction of improvement in </w:t>
      </w:r>
      <w:r w:rsidR="00F27B20" w:rsidRPr="00E33B17">
        <w:t xml:space="preserve">at least one of the </w:t>
      </w:r>
      <w:r w:rsidR="002024F9" w:rsidRPr="00E33B17">
        <w:t>identified</w:t>
      </w:r>
      <w:r w:rsidR="00F27B20" w:rsidRPr="00E33B17">
        <w:t xml:space="preserve"> ANSA domains/modules</w:t>
      </w:r>
      <w:r w:rsidR="0078213E" w:rsidRPr="00E33B17">
        <w:t xml:space="preserve">. </w:t>
      </w:r>
    </w:p>
    <w:p w14:paraId="1017D330" w14:textId="77777777" w:rsidR="00D87DD0" w:rsidRPr="00E33B17" w:rsidRDefault="00D87DD0">
      <w:pPr>
        <w:pStyle w:val="ListParagraph"/>
        <w:numPr>
          <w:ilvl w:val="2"/>
          <w:numId w:val="6"/>
        </w:numPr>
        <w:spacing w:before="120" w:after="120"/>
      </w:pPr>
      <w:r w:rsidRPr="00E33B17">
        <w:t xml:space="preserve">Denominator: </w:t>
      </w:r>
      <w:r w:rsidR="00197309" w:rsidRPr="00E33B17">
        <w:t xml:space="preserve">The number </w:t>
      </w:r>
      <w:r w:rsidRPr="00E33B17">
        <w:t xml:space="preserve">adults </w:t>
      </w:r>
      <w:r w:rsidR="00102D05" w:rsidRPr="00E33B17">
        <w:t xml:space="preserve">authorized </w:t>
      </w:r>
      <w:r w:rsidRPr="00E33B17">
        <w:t xml:space="preserve">in a FLOC whose first and last </w:t>
      </w:r>
      <w:r w:rsidR="00673419" w:rsidRPr="00E33B17">
        <w:t>UAs</w:t>
      </w:r>
      <w:r w:rsidRPr="00E33B17">
        <w:t>, including ANSA domains/modules, are at least 90 days apart.</w:t>
      </w:r>
    </w:p>
    <w:p w14:paraId="7D0D9AAC" w14:textId="77777777" w:rsidR="001668A0" w:rsidRPr="00E33B17" w:rsidRDefault="001668A0">
      <w:pPr>
        <w:pStyle w:val="ListParagraph"/>
        <w:numPr>
          <w:ilvl w:val="2"/>
          <w:numId w:val="6"/>
        </w:numPr>
        <w:spacing w:before="120" w:after="120"/>
      </w:pPr>
      <w:r w:rsidRPr="00E33B17">
        <w:t>Improvement is calculated cumulatively over the fiscal year but assessed at six</w:t>
      </w:r>
      <w:r w:rsidR="007D2683" w:rsidRPr="00E33B17">
        <w:t>–</w:t>
      </w:r>
      <w:r w:rsidRPr="00E33B17">
        <w:t>month intervals.</w:t>
      </w:r>
    </w:p>
    <w:p w14:paraId="0DF3A835" w14:textId="2152D666" w:rsidR="00D87DD0" w:rsidRPr="00E33B17" w:rsidRDefault="003A63C4">
      <w:pPr>
        <w:pStyle w:val="ListParagraph"/>
        <w:numPr>
          <w:ilvl w:val="2"/>
          <w:numId w:val="6"/>
        </w:numPr>
        <w:spacing w:before="120" w:after="120"/>
      </w:pPr>
      <w:r w:rsidRPr="00E33B17">
        <w:t>Exclusion(s)/Exception(s):</w:t>
      </w:r>
      <w:r w:rsidR="00A901D6">
        <w:t xml:space="preserve"> N/A</w:t>
      </w:r>
    </w:p>
    <w:p w14:paraId="305A5EFD" w14:textId="35DD9DDB" w:rsidR="002621D7" w:rsidRPr="00C72DF1" w:rsidRDefault="001C0280">
      <w:pPr>
        <w:pStyle w:val="ListParagraph"/>
        <w:numPr>
          <w:ilvl w:val="2"/>
          <w:numId w:val="6"/>
        </w:numPr>
        <w:spacing w:before="120" w:after="120"/>
        <w:rPr>
          <w:sz w:val="22"/>
          <w:szCs w:val="20"/>
        </w:rPr>
      </w:pPr>
      <w:r w:rsidRPr="00C72DF1">
        <w:rPr>
          <w:sz w:val="22"/>
          <w:szCs w:val="20"/>
        </w:rPr>
        <w:t>Data Source</w:t>
      </w:r>
      <w:r w:rsidR="0068270A">
        <w:rPr>
          <w:sz w:val="22"/>
          <w:szCs w:val="20"/>
        </w:rPr>
        <w:t xml:space="preserve">: </w:t>
      </w:r>
      <w:r w:rsidRPr="00C72DF1">
        <w:rPr>
          <w:sz w:val="22"/>
          <w:szCs w:val="20"/>
        </w:rPr>
        <w:t>CM</w:t>
      </w:r>
      <w:r w:rsidR="002621D7" w:rsidRPr="00C72DF1">
        <w:rPr>
          <w:sz w:val="22"/>
          <w:szCs w:val="20"/>
        </w:rPr>
        <w:t>BHS and MBOW.</w:t>
      </w:r>
    </w:p>
    <w:p w14:paraId="64BDB84B" w14:textId="77777777" w:rsidR="00A901D6" w:rsidRPr="00A901D6" w:rsidRDefault="00A901D6" w:rsidP="00C72DF1"/>
    <w:p w14:paraId="7C083A29" w14:textId="16895970" w:rsidR="008E09B4" w:rsidRPr="004A7429" w:rsidRDefault="008E09B4">
      <w:pPr>
        <w:pStyle w:val="Heading2"/>
      </w:pPr>
      <w:bookmarkStart w:id="4" w:name="_Toc134117488"/>
      <w:r w:rsidRPr="004A7429">
        <w:t>Child Improvement</w:t>
      </w:r>
      <w:bookmarkEnd w:id="4"/>
    </w:p>
    <w:p w14:paraId="62AC3200" w14:textId="585377E8" w:rsidR="008E09B4" w:rsidRPr="00E33B17" w:rsidRDefault="008C058B">
      <w:pPr>
        <w:pStyle w:val="ListParagraph"/>
        <w:numPr>
          <w:ilvl w:val="2"/>
          <w:numId w:val="6"/>
        </w:numPr>
        <w:spacing w:before="120" w:after="120"/>
      </w:pPr>
      <w:r w:rsidRPr="00E33B17">
        <w:t xml:space="preserve">Target: </w:t>
      </w:r>
      <w:r w:rsidR="000E58FA" w:rsidRPr="00E33B17">
        <w:t xml:space="preserve">At least </w:t>
      </w:r>
      <w:r w:rsidRPr="00E33B17">
        <w:t>25</w:t>
      </w:r>
      <w:r w:rsidR="008E09B4" w:rsidRPr="00E33B17">
        <w:t xml:space="preserve">.0% of all children authorized in a FLOC shall show improvement in at least one of the following CANS domains/modules: </w:t>
      </w:r>
      <w:r w:rsidR="00346B5A" w:rsidRPr="00E33B17">
        <w:t xml:space="preserve">Child Risk Behaviors, Behavioral and Emotional Needs, Life Domain Functioning, </w:t>
      </w:r>
      <w:r w:rsidR="008E09B4" w:rsidRPr="00E33B17">
        <w:t xml:space="preserve">Child Strengths, </w:t>
      </w:r>
      <w:r w:rsidR="007B3374" w:rsidRPr="00E33B17">
        <w:t xml:space="preserve">Adjustment to Trauma, </w:t>
      </w:r>
      <w:r w:rsidR="00E104EE" w:rsidRPr="00E33B17">
        <w:t>Substance Use</w:t>
      </w:r>
      <w:r w:rsidR="008E09B4" w:rsidRPr="00E33B17">
        <w:t xml:space="preserve">. </w:t>
      </w:r>
    </w:p>
    <w:p w14:paraId="030714A1" w14:textId="1A95D5C8" w:rsidR="008E09B4" w:rsidRPr="00E33B17" w:rsidRDefault="008E09B4">
      <w:pPr>
        <w:pStyle w:val="ListParagraph"/>
        <w:numPr>
          <w:ilvl w:val="2"/>
          <w:numId w:val="6"/>
        </w:numPr>
        <w:spacing w:before="120" w:after="120"/>
      </w:pPr>
      <w:r w:rsidRPr="00E33B17">
        <w:lastRenderedPageBreak/>
        <w:t>Calculation: (Numerator/Denominator</w:t>
      </w:r>
      <w:r w:rsidR="00C72DF1">
        <w:t xml:space="preserve">) * </w:t>
      </w:r>
      <w:r w:rsidRPr="00E33B17">
        <w:t>100</w:t>
      </w:r>
    </w:p>
    <w:p w14:paraId="41AF03CF" w14:textId="77777777" w:rsidR="008E09B4" w:rsidRPr="00E33B17" w:rsidRDefault="008E09B4">
      <w:pPr>
        <w:pStyle w:val="ListParagraph"/>
        <w:numPr>
          <w:ilvl w:val="2"/>
          <w:numId w:val="6"/>
        </w:numPr>
        <w:spacing w:before="120" w:after="120"/>
      </w:pPr>
      <w:r w:rsidRPr="00E33B17">
        <w:t xml:space="preserve">Numerator: </w:t>
      </w:r>
      <w:r w:rsidR="00197309" w:rsidRPr="00E33B17">
        <w:t xml:space="preserve">The number </w:t>
      </w:r>
      <w:r w:rsidR="00A81613" w:rsidRPr="00E33B17">
        <w:t xml:space="preserve">with scores on the last </w:t>
      </w:r>
      <w:r w:rsidR="00673419" w:rsidRPr="00E33B17">
        <w:t>UA</w:t>
      </w:r>
      <w:r w:rsidR="00A81613" w:rsidRPr="00E33B17">
        <w:t xml:space="preserve"> </w:t>
      </w:r>
      <w:r w:rsidRPr="00E33B17">
        <w:t>meeting or exceeding the R</w:t>
      </w:r>
      <w:r w:rsidR="00A17926" w:rsidRPr="00E33B17">
        <w:t xml:space="preserve">CI in </w:t>
      </w:r>
      <w:r w:rsidR="00265BF9" w:rsidRPr="00E33B17">
        <w:t xml:space="preserve">the direction of improvement in </w:t>
      </w:r>
      <w:r w:rsidR="00C1266E" w:rsidRPr="00E33B17">
        <w:t xml:space="preserve">at least </w:t>
      </w:r>
      <w:r w:rsidR="00A17926" w:rsidRPr="00E33B17">
        <w:t>one of the identified CANS</w:t>
      </w:r>
      <w:r w:rsidRPr="00E33B17">
        <w:t xml:space="preserve"> domains/modules.</w:t>
      </w:r>
    </w:p>
    <w:p w14:paraId="7231F331" w14:textId="5FCCC1E5" w:rsidR="008E09B4" w:rsidRPr="00E33B17" w:rsidRDefault="008E09B4">
      <w:pPr>
        <w:pStyle w:val="ListParagraph"/>
        <w:numPr>
          <w:ilvl w:val="2"/>
          <w:numId w:val="6"/>
        </w:numPr>
        <w:spacing w:before="120" w:after="120"/>
      </w:pPr>
      <w:r w:rsidRPr="00E33B17">
        <w:t xml:space="preserve">Denominator: </w:t>
      </w:r>
      <w:r w:rsidR="00197309" w:rsidRPr="00E33B17">
        <w:t>The number of</w:t>
      </w:r>
      <w:r w:rsidRPr="00E33B17">
        <w:t xml:space="preserve"> </w:t>
      </w:r>
      <w:r w:rsidR="00AD52F9" w:rsidRPr="00E33B17">
        <w:t xml:space="preserve">children </w:t>
      </w:r>
      <w:r w:rsidR="00E104EE" w:rsidRPr="00E33B17">
        <w:t>authorized</w:t>
      </w:r>
      <w:r w:rsidRPr="00E33B17">
        <w:t xml:space="preserve"> in a FLOC whose first and last </w:t>
      </w:r>
      <w:r w:rsidR="00673419" w:rsidRPr="00E33B17">
        <w:t>UAs</w:t>
      </w:r>
      <w:r w:rsidRPr="00E33B17">
        <w:t xml:space="preserve">, including </w:t>
      </w:r>
      <w:r w:rsidR="00A17926" w:rsidRPr="00E33B17">
        <w:t>CANS</w:t>
      </w:r>
      <w:r w:rsidRPr="00E33B17">
        <w:t xml:space="preserve"> </w:t>
      </w:r>
      <w:r w:rsidR="00A17926" w:rsidRPr="00E33B17">
        <w:t>domains/modules, are at least 75</w:t>
      </w:r>
      <w:r w:rsidRPr="00E33B17">
        <w:t xml:space="preserve"> days apart.</w:t>
      </w:r>
    </w:p>
    <w:p w14:paraId="014B8B3A" w14:textId="77777777" w:rsidR="00A81613" w:rsidRPr="00E33B17" w:rsidRDefault="00A81613">
      <w:pPr>
        <w:pStyle w:val="ListParagraph"/>
        <w:numPr>
          <w:ilvl w:val="2"/>
          <w:numId w:val="6"/>
        </w:numPr>
        <w:spacing w:before="120" w:after="120"/>
      </w:pPr>
      <w:r w:rsidRPr="00E33B17">
        <w:t>Improvement is calculated cumulatively over the fiscal year but assessed at six</w:t>
      </w:r>
      <w:r w:rsidR="007D2683" w:rsidRPr="00E33B17">
        <w:t>–</w:t>
      </w:r>
      <w:r w:rsidRPr="00E33B17">
        <w:t>month intervals.</w:t>
      </w:r>
    </w:p>
    <w:p w14:paraId="4A28DD40" w14:textId="1D5D218F" w:rsidR="008E09B4" w:rsidRPr="00E33B17" w:rsidRDefault="008E09B4">
      <w:pPr>
        <w:pStyle w:val="ListParagraph"/>
        <w:numPr>
          <w:ilvl w:val="2"/>
          <w:numId w:val="6"/>
        </w:numPr>
        <w:spacing w:before="120" w:after="120"/>
      </w:pPr>
      <w:r w:rsidRPr="00E33B17">
        <w:t>Exclusion(s)/Exception(s):</w:t>
      </w:r>
      <w:r w:rsidR="00A901D6">
        <w:t xml:space="preserve"> N/A</w:t>
      </w:r>
    </w:p>
    <w:p w14:paraId="1246DE72" w14:textId="0B4ED0F3" w:rsidR="008E09B4" w:rsidRDefault="001C0280">
      <w:pPr>
        <w:pStyle w:val="ListParagraph"/>
        <w:numPr>
          <w:ilvl w:val="2"/>
          <w:numId w:val="6"/>
        </w:numPr>
        <w:spacing w:before="120" w:after="120"/>
      </w:pPr>
      <w:r w:rsidRPr="00E33B17">
        <w:t>Data Source</w:t>
      </w:r>
      <w:r w:rsidR="0068270A">
        <w:t xml:space="preserve">: </w:t>
      </w:r>
      <w:r w:rsidRPr="00E33B17">
        <w:t>CM</w:t>
      </w:r>
      <w:r w:rsidR="008E09B4" w:rsidRPr="00E33B17">
        <w:t>BHS and MBOW.</w:t>
      </w:r>
    </w:p>
    <w:p w14:paraId="76063C61" w14:textId="77777777" w:rsidR="00A901D6" w:rsidRPr="00E33B17" w:rsidRDefault="00A901D6" w:rsidP="00C72DF1">
      <w:pPr>
        <w:spacing w:before="120" w:after="120"/>
      </w:pPr>
    </w:p>
    <w:p w14:paraId="3D584A1D" w14:textId="4AFCA98B" w:rsidR="00A76B19" w:rsidRPr="004A7429" w:rsidRDefault="00A76B19">
      <w:pPr>
        <w:pStyle w:val="Heading2"/>
      </w:pPr>
      <w:bookmarkStart w:id="5" w:name="_Toc134117173"/>
      <w:bookmarkStart w:id="6" w:name="_Toc134117489"/>
      <w:bookmarkStart w:id="7" w:name="_Toc134117174"/>
      <w:bookmarkStart w:id="8" w:name="_Toc134117490"/>
      <w:bookmarkStart w:id="9" w:name="_Toc134117175"/>
      <w:bookmarkStart w:id="10" w:name="_Toc134117491"/>
      <w:bookmarkStart w:id="11" w:name="_Toc134117176"/>
      <w:bookmarkStart w:id="12" w:name="_Toc134117492"/>
      <w:bookmarkStart w:id="13" w:name="_Toc134117177"/>
      <w:bookmarkStart w:id="14" w:name="_Toc134117493"/>
      <w:bookmarkStart w:id="15" w:name="_Toc134117178"/>
      <w:bookmarkStart w:id="16" w:name="_Toc134117494"/>
      <w:bookmarkStart w:id="17" w:name="_Toc134117179"/>
      <w:bookmarkStart w:id="18" w:name="_Toc134117495"/>
      <w:bookmarkStart w:id="19" w:name="_Toc134117180"/>
      <w:bookmarkStart w:id="20" w:name="_Toc134117496"/>
      <w:bookmarkStart w:id="21" w:name="_Toc134117181"/>
      <w:bookmarkStart w:id="22" w:name="_Toc134117497"/>
      <w:bookmarkStart w:id="23" w:name="_Toc134117182"/>
      <w:bookmarkStart w:id="24" w:name="_Toc134117498"/>
      <w:bookmarkStart w:id="25" w:name="_Toc134117183"/>
      <w:bookmarkStart w:id="26" w:name="_Toc134117499"/>
      <w:bookmarkStart w:id="27" w:name="_Toc134117184"/>
      <w:bookmarkStart w:id="28" w:name="_Toc134117500"/>
      <w:bookmarkStart w:id="29" w:name="_Toc134117185"/>
      <w:bookmarkStart w:id="30" w:name="_Toc134117501"/>
      <w:bookmarkStart w:id="31" w:name="_Toc13411750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A7429">
        <w:t xml:space="preserve">School </w:t>
      </w:r>
      <w:r w:rsidR="00AC36E7" w:rsidRPr="004A7429">
        <w:t>Performance</w:t>
      </w:r>
      <w:bookmarkEnd w:id="31"/>
    </w:p>
    <w:p w14:paraId="7F2003E3" w14:textId="5F585884" w:rsidR="00A76B19" w:rsidRPr="00E33B17" w:rsidRDefault="00A76B19">
      <w:pPr>
        <w:pStyle w:val="ListParagraph"/>
        <w:numPr>
          <w:ilvl w:val="2"/>
          <w:numId w:val="6"/>
        </w:numPr>
        <w:spacing w:before="120" w:after="120"/>
      </w:pPr>
      <w:r w:rsidRPr="00E33B17">
        <w:t xml:space="preserve">Target: </w:t>
      </w:r>
      <w:r w:rsidR="00713C0E" w:rsidRPr="00E33B17">
        <w:t xml:space="preserve">At least </w:t>
      </w:r>
      <w:r w:rsidR="00816E22" w:rsidRPr="00E33B17">
        <w:t>60.0%</w:t>
      </w:r>
      <w:r w:rsidR="00713C0E" w:rsidRPr="00E33B17">
        <w:t xml:space="preserve"> </w:t>
      </w:r>
      <w:r w:rsidRPr="00E33B17">
        <w:t xml:space="preserve">of children authorized in a FLOC </w:t>
      </w:r>
      <w:r w:rsidR="00D12189" w:rsidRPr="00E33B17">
        <w:t xml:space="preserve">shall have </w:t>
      </w:r>
      <w:r w:rsidRPr="00E33B17">
        <w:t>acceptable or improved school performance.</w:t>
      </w:r>
    </w:p>
    <w:p w14:paraId="0A421501" w14:textId="710B38DC" w:rsidR="00A76B19" w:rsidRPr="00E33B17" w:rsidRDefault="00A76B19">
      <w:pPr>
        <w:pStyle w:val="ListParagraph"/>
        <w:numPr>
          <w:ilvl w:val="2"/>
          <w:numId w:val="6"/>
        </w:numPr>
        <w:spacing w:before="120" w:after="120"/>
      </w:pPr>
      <w:r w:rsidRPr="00E33B17">
        <w:t>Calculation: (Numerator/Denominator</w:t>
      </w:r>
      <w:r w:rsidR="00C72DF1">
        <w:t xml:space="preserve">) * </w:t>
      </w:r>
      <w:r w:rsidRPr="00E33B17">
        <w:t>100</w:t>
      </w:r>
    </w:p>
    <w:p w14:paraId="242C6C74" w14:textId="1B0A236F" w:rsidR="00A76B19" w:rsidRPr="00E33B17" w:rsidRDefault="00A76B19">
      <w:pPr>
        <w:pStyle w:val="ListParagraph"/>
        <w:numPr>
          <w:ilvl w:val="2"/>
          <w:numId w:val="6"/>
        </w:numPr>
        <w:spacing w:before="120" w:after="120"/>
      </w:pPr>
      <w:r w:rsidRPr="00E33B17">
        <w:t>Numerator: T</w:t>
      </w:r>
      <w:r w:rsidR="00B71B49" w:rsidRPr="00E33B17">
        <w:t xml:space="preserve">he </w:t>
      </w:r>
      <w:r w:rsidRPr="00E33B17">
        <w:t xml:space="preserve">number </w:t>
      </w:r>
      <w:r w:rsidR="00A50479" w:rsidRPr="00E33B17">
        <w:t xml:space="preserve">who meet or exceed the RCI benchmark in the direction of improvement for the CANS School module </w:t>
      </w:r>
      <w:r w:rsidR="00A82BF8" w:rsidRPr="00E33B17">
        <w:t>OR</w:t>
      </w:r>
      <w:r w:rsidR="00A50479" w:rsidRPr="00E33B17">
        <w:t xml:space="preserve"> who have CANS item scores of </w:t>
      </w:r>
      <w:r w:rsidR="00632277" w:rsidRPr="00E33B17">
        <w:t xml:space="preserve">0 or </w:t>
      </w:r>
      <w:r w:rsidR="00A50479" w:rsidRPr="00E33B17">
        <w:t xml:space="preserve">1 for all School module items at both first and last UAs. If the child does not experience any difficulties in school (or has completed school) and therefore does not trigger the school module via a score &gt;0 on the CANS School item, then the default mean score for the module is 0. </w:t>
      </w:r>
    </w:p>
    <w:p w14:paraId="5749749B" w14:textId="64FAFDC7" w:rsidR="00A76B19" w:rsidRPr="00E33B17" w:rsidRDefault="00A76B19">
      <w:pPr>
        <w:pStyle w:val="ListParagraph"/>
        <w:numPr>
          <w:ilvl w:val="2"/>
          <w:numId w:val="6"/>
        </w:numPr>
        <w:spacing w:before="120" w:after="120"/>
      </w:pPr>
      <w:r w:rsidRPr="00E33B17">
        <w:t xml:space="preserve">Denominator: </w:t>
      </w:r>
      <w:r w:rsidR="00B71B49" w:rsidRPr="00E33B17">
        <w:t xml:space="preserve">The </w:t>
      </w:r>
      <w:r w:rsidRPr="00E33B17">
        <w:t xml:space="preserve">number of children authorized in a FLOC </w:t>
      </w:r>
      <w:r w:rsidR="00AC3970" w:rsidRPr="00E33B17">
        <w:t>with first and last UAs at least 75 days apart</w:t>
      </w:r>
      <w:r w:rsidRPr="00E33B17">
        <w:t>.</w:t>
      </w:r>
    </w:p>
    <w:p w14:paraId="380B4FAD" w14:textId="11E40445" w:rsidR="00A76B19" w:rsidRPr="00E33B17" w:rsidRDefault="00A76B19">
      <w:pPr>
        <w:pStyle w:val="ListParagraph"/>
        <w:numPr>
          <w:ilvl w:val="2"/>
          <w:numId w:val="6"/>
        </w:numPr>
        <w:spacing w:before="120" w:after="120"/>
      </w:pPr>
      <w:r w:rsidRPr="00E33B17">
        <w:t>Exclusion(s)/Exception(s):</w:t>
      </w:r>
      <w:r w:rsidR="00A901D6">
        <w:t xml:space="preserve"> N/A</w:t>
      </w:r>
    </w:p>
    <w:p w14:paraId="03CF9262" w14:textId="03BC4252" w:rsidR="00A76B19" w:rsidRDefault="001C0280">
      <w:pPr>
        <w:pStyle w:val="ListParagraph"/>
        <w:numPr>
          <w:ilvl w:val="2"/>
          <w:numId w:val="6"/>
        </w:numPr>
        <w:spacing w:before="120" w:after="120"/>
      </w:pPr>
      <w:r w:rsidRPr="00E33B17">
        <w:t>Data Source</w:t>
      </w:r>
      <w:r w:rsidR="0068270A">
        <w:t xml:space="preserve">: </w:t>
      </w:r>
      <w:r w:rsidRPr="00E33B17">
        <w:t>CM</w:t>
      </w:r>
      <w:r w:rsidR="00A76B19" w:rsidRPr="00E33B17">
        <w:t>BHS and MBOW.</w:t>
      </w:r>
    </w:p>
    <w:p w14:paraId="455389F5" w14:textId="77777777" w:rsidR="00A901D6" w:rsidRPr="00E33B17" w:rsidRDefault="00A901D6" w:rsidP="00C72DF1">
      <w:pPr>
        <w:spacing w:before="120" w:after="120"/>
      </w:pPr>
    </w:p>
    <w:p w14:paraId="4D2F6403" w14:textId="7EAB0548" w:rsidR="00DC09D4" w:rsidRPr="004A7429" w:rsidRDefault="00DC09D4">
      <w:pPr>
        <w:pStyle w:val="Heading2"/>
      </w:pPr>
      <w:bookmarkStart w:id="32" w:name="_Toc134117503"/>
      <w:r w:rsidRPr="004A7429">
        <w:t>Community Tenure</w:t>
      </w:r>
      <w:bookmarkEnd w:id="32"/>
    </w:p>
    <w:p w14:paraId="2E1C9996" w14:textId="18EBFDBF" w:rsidR="00DC09D4" w:rsidRPr="00E33B17" w:rsidRDefault="00DC09D4">
      <w:pPr>
        <w:pStyle w:val="ListParagraph"/>
        <w:numPr>
          <w:ilvl w:val="2"/>
          <w:numId w:val="6"/>
        </w:numPr>
        <w:spacing w:before="120" w:after="120"/>
      </w:pPr>
      <w:r w:rsidRPr="00E33B17">
        <w:t xml:space="preserve">Target: </w:t>
      </w:r>
      <w:r w:rsidR="000B347B" w:rsidRPr="00E33B17">
        <w:t xml:space="preserve">At least </w:t>
      </w:r>
      <w:r w:rsidR="00083C10" w:rsidRPr="00E33B17">
        <w:t>96.8</w:t>
      </w:r>
      <w:r w:rsidR="000B347B" w:rsidRPr="00E33B17">
        <w:t>%</w:t>
      </w:r>
      <w:r w:rsidRPr="00E33B17">
        <w:t xml:space="preserve"> of adults</w:t>
      </w:r>
      <w:r w:rsidR="007D229F" w:rsidRPr="00E33B17">
        <w:t xml:space="preserve"> and</w:t>
      </w:r>
      <w:r w:rsidRPr="00E33B17">
        <w:t xml:space="preserve"> children authorized in a FLOC </w:t>
      </w:r>
      <w:r w:rsidR="000B347B" w:rsidRPr="00E33B17">
        <w:t xml:space="preserve">shall </w:t>
      </w:r>
      <w:r w:rsidRPr="00E33B17">
        <w:t xml:space="preserve">avoid hospitalization in </w:t>
      </w:r>
      <w:r w:rsidR="00DD63E7" w:rsidRPr="00E33B17">
        <w:t>a</w:t>
      </w:r>
      <w:r w:rsidR="00B235DF">
        <w:t>n</w:t>
      </w:r>
      <w:r w:rsidR="00DD63E7" w:rsidRPr="00E33B17">
        <w:t xml:space="preserve"> </w:t>
      </w:r>
      <w:r w:rsidR="00B235DF">
        <w:t>HHSC</w:t>
      </w:r>
      <w:r w:rsidRPr="00E33B17">
        <w:t xml:space="preserve"> Inpatient Bed </w:t>
      </w:r>
      <w:r w:rsidR="000B347B" w:rsidRPr="00E33B17">
        <w:t>throughout the</w:t>
      </w:r>
      <w:r w:rsidR="00DD63E7" w:rsidRPr="00E33B17">
        <w:t xml:space="preserve"> measurement period</w:t>
      </w:r>
      <w:r w:rsidRPr="00E33B17">
        <w:t>.</w:t>
      </w:r>
    </w:p>
    <w:p w14:paraId="1A3CE8CF" w14:textId="29B45BDB" w:rsidR="00DC09D4" w:rsidRPr="00E33B17" w:rsidRDefault="00DC09D4">
      <w:pPr>
        <w:pStyle w:val="ListParagraph"/>
        <w:numPr>
          <w:ilvl w:val="2"/>
          <w:numId w:val="6"/>
        </w:numPr>
        <w:spacing w:before="120" w:after="120"/>
      </w:pPr>
      <w:r w:rsidRPr="00E33B17">
        <w:t>Calculation: (Numerator/Denominator</w:t>
      </w:r>
      <w:r w:rsidR="00C72DF1">
        <w:t xml:space="preserve">) * </w:t>
      </w:r>
      <w:r w:rsidRPr="00E33B17">
        <w:t>100</w:t>
      </w:r>
    </w:p>
    <w:p w14:paraId="2DBC1475" w14:textId="0734A3C6" w:rsidR="00DC09D4" w:rsidRPr="00E33B17" w:rsidRDefault="00DC09D4">
      <w:pPr>
        <w:pStyle w:val="ListParagraph"/>
        <w:numPr>
          <w:ilvl w:val="2"/>
          <w:numId w:val="6"/>
        </w:numPr>
        <w:spacing w:before="120" w:after="120"/>
      </w:pPr>
      <w:r w:rsidRPr="00E33B17">
        <w:t xml:space="preserve">Numerator: </w:t>
      </w:r>
      <w:r w:rsidR="002E7B77" w:rsidRPr="00E33B17">
        <w:t xml:space="preserve">The number </w:t>
      </w:r>
      <w:r w:rsidR="003D1EDA" w:rsidRPr="00E33B17">
        <w:t xml:space="preserve">who </w:t>
      </w:r>
      <w:r w:rsidRPr="00E33B17">
        <w:t xml:space="preserve">avoid hospitalization in </w:t>
      </w:r>
      <w:r w:rsidR="00E33024" w:rsidRPr="00E33B17">
        <w:t>a</w:t>
      </w:r>
      <w:r w:rsidR="00B235DF">
        <w:t>n</w:t>
      </w:r>
      <w:r w:rsidR="00E33024" w:rsidRPr="00E33B17">
        <w:t xml:space="preserve"> </w:t>
      </w:r>
      <w:r w:rsidR="00B235DF">
        <w:t>HHSC</w:t>
      </w:r>
      <w:r w:rsidRPr="00E33B17">
        <w:t xml:space="preserve"> Inpatient Bed after authorization into a FLOC.</w:t>
      </w:r>
    </w:p>
    <w:p w14:paraId="23699C61" w14:textId="77777777" w:rsidR="00DC09D4" w:rsidRPr="00E33B17" w:rsidRDefault="00DC09D4">
      <w:pPr>
        <w:pStyle w:val="ListParagraph"/>
        <w:numPr>
          <w:ilvl w:val="2"/>
          <w:numId w:val="6"/>
        </w:numPr>
        <w:spacing w:before="120" w:after="120"/>
      </w:pPr>
      <w:r w:rsidRPr="00E33B17">
        <w:t xml:space="preserve">Denominator: </w:t>
      </w:r>
      <w:r w:rsidR="002E7B77" w:rsidRPr="00E33B17">
        <w:t xml:space="preserve">The number of </w:t>
      </w:r>
      <w:r w:rsidR="001C0280" w:rsidRPr="00E33B17">
        <w:t>persons authorized in a FLOC during the measurement period</w:t>
      </w:r>
      <w:r w:rsidRPr="00E33B17">
        <w:t>.</w:t>
      </w:r>
    </w:p>
    <w:p w14:paraId="25A100D8" w14:textId="77777777" w:rsidR="00D87DDD" w:rsidRPr="00E33B17" w:rsidRDefault="00DC09D4">
      <w:pPr>
        <w:pStyle w:val="ListParagraph"/>
        <w:numPr>
          <w:ilvl w:val="2"/>
          <w:numId w:val="6"/>
        </w:numPr>
        <w:spacing w:before="120" w:after="120"/>
      </w:pPr>
      <w:r w:rsidRPr="00E33B17">
        <w:lastRenderedPageBreak/>
        <w:t>Exclusion(s)/Exception(s):</w:t>
      </w:r>
      <w:r w:rsidR="001C0280" w:rsidRPr="00E33B17">
        <w:t xml:space="preserve"> </w:t>
      </w:r>
    </w:p>
    <w:p w14:paraId="2CAA1C83" w14:textId="77777777" w:rsidR="00DC09D4" w:rsidRPr="00E33B17" w:rsidRDefault="001C0280">
      <w:pPr>
        <w:pStyle w:val="ListParagraph"/>
        <w:numPr>
          <w:ilvl w:val="3"/>
          <w:numId w:val="6"/>
        </w:numPr>
        <w:spacing w:before="120" w:after="120"/>
      </w:pPr>
      <w:r w:rsidRPr="00E33B17">
        <w:t>Crisis Stabilization Units (CSU</w:t>
      </w:r>
      <w:r w:rsidR="000F51FD" w:rsidRPr="00E33B17">
        <w:t>s</w:t>
      </w:r>
      <w:r w:rsidRPr="00E33B17">
        <w:t xml:space="preserve">) </w:t>
      </w:r>
      <w:r w:rsidR="007D2683" w:rsidRPr="00E33B17">
        <w:t>–</w:t>
      </w:r>
      <w:r w:rsidRPr="00E33B17">
        <w:t xml:space="preserve"> including Hill Country, Extended Observation Units (EOU</w:t>
      </w:r>
      <w:r w:rsidR="000F51FD" w:rsidRPr="00E33B17">
        <w:t>s</w:t>
      </w:r>
      <w:r w:rsidRPr="00E33B17">
        <w:t>), Crisis Respite, Crisis Residential</w:t>
      </w:r>
      <w:r w:rsidR="000F51FD" w:rsidRPr="00E33B17">
        <w:t>,</w:t>
      </w:r>
      <w:r w:rsidRPr="00E33B17">
        <w:t xml:space="preserve"> and Rusk and Vernon forensic locations.</w:t>
      </w:r>
    </w:p>
    <w:p w14:paraId="1514905B" w14:textId="6AEC0E0C" w:rsidR="00D87DDD" w:rsidRPr="00E33B17" w:rsidRDefault="00D87DDD">
      <w:pPr>
        <w:pStyle w:val="ListParagraph"/>
        <w:numPr>
          <w:ilvl w:val="3"/>
          <w:numId w:val="6"/>
        </w:numPr>
        <w:spacing w:before="120" w:after="120"/>
      </w:pPr>
      <w:r w:rsidRPr="00E33B17">
        <w:t>Children</w:t>
      </w:r>
      <w:r w:rsidR="000A028A" w:rsidRPr="00E33B17">
        <w:t xml:space="preserve"> </w:t>
      </w:r>
      <w:r w:rsidR="007D229F" w:rsidRPr="00E33B17">
        <w:t>i</w:t>
      </w:r>
      <w:r w:rsidRPr="00E33B17">
        <w:t>n LOC</w:t>
      </w:r>
      <w:r w:rsidR="007D2683" w:rsidRPr="00E33B17">
        <w:t>–</w:t>
      </w:r>
      <w:r w:rsidRPr="00E33B17">
        <w:t>Y (YES Waiver).</w:t>
      </w:r>
    </w:p>
    <w:p w14:paraId="0702D1EC" w14:textId="05195534" w:rsidR="001029A3" w:rsidRDefault="001C0280">
      <w:pPr>
        <w:pStyle w:val="ListParagraph"/>
        <w:numPr>
          <w:ilvl w:val="2"/>
          <w:numId w:val="6"/>
        </w:numPr>
        <w:spacing w:before="120" w:after="120"/>
      </w:pPr>
      <w:r w:rsidRPr="00E33B17">
        <w:t>Data Source</w:t>
      </w:r>
      <w:r w:rsidR="0068270A">
        <w:t xml:space="preserve">: </w:t>
      </w:r>
      <w:r w:rsidRPr="00E33B17">
        <w:t>CARE, CM</w:t>
      </w:r>
      <w:r w:rsidR="00DC09D4" w:rsidRPr="00E33B17">
        <w:t>BHS</w:t>
      </w:r>
      <w:r w:rsidR="000A2398" w:rsidRPr="00E33B17">
        <w:t>,</w:t>
      </w:r>
      <w:r w:rsidR="00DC09D4" w:rsidRPr="00E33B17">
        <w:t xml:space="preserve"> and MBOW.</w:t>
      </w:r>
    </w:p>
    <w:p w14:paraId="35B6F4F1" w14:textId="77777777" w:rsidR="00A901D6" w:rsidRPr="00E33B17" w:rsidRDefault="00A901D6" w:rsidP="00C72DF1">
      <w:pPr>
        <w:spacing w:before="120" w:after="120"/>
      </w:pPr>
    </w:p>
    <w:p w14:paraId="123BF24D" w14:textId="2F65C291" w:rsidR="000C386F" w:rsidRPr="004A7429" w:rsidRDefault="000C386F">
      <w:pPr>
        <w:pStyle w:val="Heading2"/>
      </w:pPr>
      <w:bookmarkStart w:id="33" w:name="_Toc134117504"/>
      <w:r w:rsidRPr="004A7429">
        <w:t>Effective Crisis Response</w:t>
      </w:r>
      <w:bookmarkEnd w:id="33"/>
    </w:p>
    <w:p w14:paraId="20CB23DB" w14:textId="37E66164" w:rsidR="000C386F" w:rsidRPr="00E33B17" w:rsidRDefault="000C386F">
      <w:pPr>
        <w:pStyle w:val="ListParagraph"/>
        <w:numPr>
          <w:ilvl w:val="2"/>
          <w:numId w:val="6"/>
        </w:numPr>
        <w:spacing w:before="120" w:after="120"/>
      </w:pPr>
      <w:r w:rsidRPr="00E33B17">
        <w:t xml:space="preserve">Target: </w:t>
      </w:r>
      <w:r w:rsidR="003D1EDA" w:rsidRPr="00E33B17">
        <w:t xml:space="preserve">At least 75.1% </w:t>
      </w:r>
      <w:r w:rsidRPr="00E33B17">
        <w:t xml:space="preserve">of </w:t>
      </w:r>
      <w:r w:rsidR="00B27553" w:rsidRPr="00E33B17">
        <w:t>crisis episodes</w:t>
      </w:r>
      <w:r w:rsidR="0081146C" w:rsidRPr="00E33B17">
        <w:t xml:space="preserve"> during the measurement period</w:t>
      </w:r>
      <w:r w:rsidRPr="00E33B17">
        <w:t xml:space="preserve"> </w:t>
      </w:r>
      <w:r w:rsidR="0081146C" w:rsidRPr="00E33B17">
        <w:t>shall</w:t>
      </w:r>
      <w:r w:rsidR="00B27553" w:rsidRPr="00E33B17">
        <w:t xml:space="preserve"> not be followed by</w:t>
      </w:r>
      <w:r w:rsidRPr="00E33B17">
        <w:t xml:space="preserve"> admission to a</w:t>
      </w:r>
      <w:r w:rsidR="00B235DF">
        <w:t>n</w:t>
      </w:r>
      <w:r w:rsidRPr="00E33B17">
        <w:t xml:space="preserve"> </w:t>
      </w:r>
      <w:r w:rsidR="00B235DF">
        <w:t>HHSC</w:t>
      </w:r>
      <w:r w:rsidRPr="00E33B17">
        <w:t xml:space="preserve"> Inpatient Bed within 30 days of the </w:t>
      </w:r>
      <w:r w:rsidR="00171BAB" w:rsidRPr="00E33B17">
        <w:t xml:space="preserve">first day </w:t>
      </w:r>
      <w:r w:rsidRPr="00E33B17">
        <w:t>of the crisis episode.</w:t>
      </w:r>
    </w:p>
    <w:p w14:paraId="2C2B3EA9" w14:textId="6CACFEB9" w:rsidR="000C386F" w:rsidRPr="00E33B17" w:rsidRDefault="000C386F">
      <w:pPr>
        <w:pStyle w:val="ListParagraph"/>
        <w:numPr>
          <w:ilvl w:val="2"/>
          <w:numId w:val="6"/>
        </w:numPr>
        <w:spacing w:before="120" w:after="120"/>
      </w:pPr>
      <w:r w:rsidRPr="00E33B17">
        <w:t>Calculation</w:t>
      </w:r>
      <w:r w:rsidR="0068270A">
        <w:t xml:space="preserve">: </w:t>
      </w:r>
      <w:r w:rsidRPr="00E33B17">
        <w:t>(Numerator/Denominator</w:t>
      </w:r>
      <w:r w:rsidR="00C72DF1">
        <w:t xml:space="preserve">) * </w:t>
      </w:r>
      <w:r w:rsidRPr="00E33B17">
        <w:t>100</w:t>
      </w:r>
    </w:p>
    <w:p w14:paraId="120F926B" w14:textId="43B4FDE9" w:rsidR="000C386F" w:rsidRPr="00E33B17" w:rsidRDefault="000C386F">
      <w:pPr>
        <w:pStyle w:val="ListParagraph"/>
        <w:numPr>
          <w:ilvl w:val="2"/>
          <w:numId w:val="6"/>
        </w:numPr>
        <w:spacing w:before="120" w:after="120"/>
      </w:pPr>
      <w:r w:rsidRPr="00E33B17">
        <w:t xml:space="preserve">Numerator: </w:t>
      </w:r>
      <w:r w:rsidR="00B14F19" w:rsidRPr="00E33B17">
        <w:t xml:space="preserve">The number of crisis episodes </w:t>
      </w:r>
      <w:r w:rsidR="004127D0" w:rsidRPr="00E33B17">
        <w:t>not followed by</w:t>
      </w:r>
      <w:r w:rsidR="00B14F19" w:rsidRPr="00E33B17">
        <w:t xml:space="preserve"> admission into</w:t>
      </w:r>
      <w:r w:rsidR="001C188B">
        <w:t xml:space="preserve"> an</w:t>
      </w:r>
      <w:r w:rsidR="00B14F19" w:rsidRPr="00E33B17">
        <w:t xml:space="preserve"> </w:t>
      </w:r>
      <w:r w:rsidR="00B235DF">
        <w:t>HHSC</w:t>
      </w:r>
      <w:r w:rsidR="00B14F19" w:rsidRPr="00E33B17">
        <w:t xml:space="preserve"> Inpatient Bed within 30 days of the first day of the crisis episode</w:t>
      </w:r>
      <w:r w:rsidRPr="00E33B17">
        <w:t>.</w:t>
      </w:r>
    </w:p>
    <w:p w14:paraId="7A70CF1C" w14:textId="77777777" w:rsidR="000C386F" w:rsidRPr="00E33B17" w:rsidRDefault="000C386F">
      <w:pPr>
        <w:pStyle w:val="ListParagraph"/>
        <w:numPr>
          <w:ilvl w:val="2"/>
          <w:numId w:val="6"/>
        </w:numPr>
        <w:spacing w:before="120" w:after="120"/>
      </w:pPr>
      <w:r w:rsidRPr="00E33B17">
        <w:t xml:space="preserve">Denominator: </w:t>
      </w:r>
      <w:r w:rsidR="00B14F19" w:rsidRPr="00E33B17">
        <w:t>The number of crisis episodes</w:t>
      </w:r>
      <w:r w:rsidR="002E7B77" w:rsidRPr="00E33B17">
        <w:t xml:space="preserve"> in the measurement period</w:t>
      </w:r>
      <w:r w:rsidRPr="00E33B17">
        <w:t>.</w:t>
      </w:r>
    </w:p>
    <w:p w14:paraId="54C666DF" w14:textId="77777777" w:rsidR="00C02CC2" w:rsidRPr="00E33B17" w:rsidRDefault="000C386F">
      <w:pPr>
        <w:pStyle w:val="ListParagraph"/>
        <w:numPr>
          <w:ilvl w:val="2"/>
          <w:numId w:val="6"/>
        </w:numPr>
        <w:spacing w:before="120" w:after="120"/>
      </w:pPr>
      <w:r w:rsidRPr="00E33B17">
        <w:t xml:space="preserve">Exclusion(s)/Exception(s): </w:t>
      </w:r>
    </w:p>
    <w:p w14:paraId="5A656309" w14:textId="77777777" w:rsidR="000C386F" w:rsidRPr="00E33B17" w:rsidRDefault="000C386F">
      <w:pPr>
        <w:pStyle w:val="ListParagraph"/>
        <w:numPr>
          <w:ilvl w:val="3"/>
          <w:numId w:val="6"/>
        </w:numPr>
        <w:spacing w:before="120" w:after="120"/>
      </w:pPr>
      <w:r w:rsidRPr="00E33B17">
        <w:t>Crisis Stabilization Units (CSU</w:t>
      </w:r>
      <w:r w:rsidR="000F51FD" w:rsidRPr="00E33B17">
        <w:t>s</w:t>
      </w:r>
      <w:r w:rsidRPr="00E33B17">
        <w:t xml:space="preserve">) </w:t>
      </w:r>
      <w:r w:rsidR="007D2683" w:rsidRPr="00E33B17">
        <w:t>–</w:t>
      </w:r>
      <w:r w:rsidRPr="00E33B17">
        <w:t xml:space="preserve"> including Hill Country, Extended Observation Units (EOU</w:t>
      </w:r>
      <w:r w:rsidR="000F51FD" w:rsidRPr="00E33B17">
        <w:t>s</w:t>
      </w:r>
      <w:r w:rsidRPr="00E33B17">
        <w:t>), Crisis Respite, Crisis Residential</w:t>
      </w:r>
      <w:r w:rsidR="000F51FD" w:rsidRPr="00E33B17">
        <w:t>,</w:t>
      </w:r>
      <w:r w:rsidRPr="00E33B17">
        <w:t xml:space="preserve"> and Rusk and Vernon forensic locations.</w:t>
      </w:r>
    </w:p>
    <w:p w14:paraId="7E952AEE" w14:textId="642B442B" w:rsidR="00C02CC2" w:rsidRPr="00E33B17" w:rsidRDefault="00C02CC2">
      <w:pPr>
        <w:pStyle w:val="ListParagraph"/>
        <w:numPr>
          <w:ilvl w:val="3"/>
          <w:numId w:val="6"/>
        </w:numPr>
        <w:spacing w:before="120" w:after="120"/>
      </w:pPr>
      <w:r w:rsidRPr="00E33B17">
        <w:t>Children</w:t>
      </w:r>
      <w:r w:rsidR="000A028A" w:rsidRPr="00E33B17">
        <w:t xml:space="preserve"> </w:t>
      </w:r>
      <w:r w:rsidRPr="00E33B17">
        <w:t>in LOC</w:t>
      </w:r>
      <w:r w:rsidR="007D2683" w:rsidRPr="00E33B17">
        <w:t>–</w:t>
      </w:r>
      <w:r w:rsidRPr="00E33B17">
        <w:t>Y (YES Waiver).</w:t>
      </w:r>
    </w:p>
    <w:p w14:paraId="4DD7DEE6" w14:textId="75708302" w:rsidR="00E1523F" w:rsidRDefault="00E1523F">
      <w:pPr>
        <w:pStyle w:val="ListParagraph"/>
        <w:numPr>
          <w:ilvl w:val="2"/>
          <w:numId w:val="6"/>
        </w:numPr>
        <w:spacing w:before="120" w:after="120"/>
      </w:pPr>
      <w:r w:rsidRPr="00E33B17">
        <w:t>Data Source</w:t>
      </w:r>
      <w:r w:rsidR="0068270A">
        <w:t xml:space="preserve">: </w:t>
      </w:r>
      <w:r w:rsidRPr="00E33B17">
        <w:t>CARE, CMBHS, and MBOW.</w:t>
      </w:r>
    </w:p>
    <w:p w14:paraId="3D0F14A2" w14:textId="77777777" w:rsidR="00A901D6" w:rsidRPr="00E33B17" w:rsidRDefault="00A901D6" w:rsidP="00C72DF1">
      <w:pPr>
        <w:spacing w:before="120" w:after="120"/>
      </w:pPr>
    </w:p>
    <w:p w14:paraId="60165DA8" w14:textId="453779B0" w:rsidR="00C92760" w:rsidRPr="004A7429" w:rsidRDefault="00C92760">
      <w:pPr>
        <w:pStyle w:val="Heading2"/>
      </w:pPr>
      <w:bookmarkStart w:id="34" w:name="_Toc134117189"/>
      <w:bookmarkStart w:id="35" w:name="_Toc134117505"/>
      <w:bookmarkStart w:id="36" w:name="_Toc134117190"/>
      <w:bookmarkStart w:id="37" w:name="_Toc134117506"/>
      <w:bookmarkStart w:id="38" w:name="_Toc134117191"/>
      <w:bookmarkStart w:id="39" w:name="_Toc134117507"/>
      <w:bookmarkStart w:id="40" w:name="_Toc134117192"/>
      <w:bookmarkStart w:id="41" w:name="_Toc134117508"/>
      <w:bookmarkStart w:id="42" w:name="_Toc134117193"/>
      <w:bookmarkStart w:id="43" w:name="_Toc134117509"/>
      <w:bookmarkStart w:id="44" w:name="_Toc134117194"/>
      <w:bookmarkStart w:id="45" w:name="_Toc134117510"/>
      <w:bookmarkStart w:id="46" w:name="_Toc134117195"/>
      <w:bookmarkStart w:id="47" w:name="_Toc134117511"/>
      <w:bookmarkStart w:id="48" w:name="_Toc134117196"/>
      <w:bookmarkStart w:id="49" w:name="_Toc134117512"/>
      <w:bookmarkStart w:id="50" w:name="_Toc134117197"/>
      <w:bookmarkStart w:id="51" w:name="_Toc134117513"/>
      <w:bookmarkStart w:id="52" w:name="_Toc134117198"/>
      <w:bookmarkStart w:id="53" w:name="_Toc134117514"/>
      <w:bookmarkStart w:id="54" w:name="_Toc134117199"/>
      <w:bookmarkStart w:id="55" w:name="_Toc134117515"/>
      <w:bookmarkStart w:id="56" w:name="_Toc134117200"/>
      <w:bookmarkStart w:id="57" w:name="_Toc134117516"/>
      <w:bookmarkStart w:id="58" w:name="_Toc134117201"/>
      <w:bookmarkStart w:id="59" w:name="_Toc134117517"/>
      <w:bookmarkStart w:id="60" w:name="_Toc134117202"/>
      <w:bookmarkStart w:id="61" w:name="_Toc134117518"/>
      <w:bookmarkStart w:id="62" w:name="_Toc134117203"/>
      <w:bookmarkStart w:id="63" w:name="_Toc134117519"/>
      <w:bookmarkStart w:id="64" w:name="_Toc134117204"/>
      <w:bookmarkStart w:id="65" w:name="_Toc134117520"/>
      <w:bookmarkStart w:id="66" w:name="_Toc134117205"/>
      <w:bookmarkStart w:id="67" w:name="_Toc134117521"/>
      <w:bookmarkStart w:id="68" w:name="_Toc134117206"/>
      <w:bookmarkStart w:id="69" w:name="_Toc134117522"/>
      <w:bookmarkStart w:id="70" w:name="_Toc134117207"/>
      <w:bookmarkStart w:id="71" w:name="_Toc134117523"/>
      <w:bookmarkStart w:id="72" w:name="_Toc134117208"/>
      <w:bookmarkStart w:id="73" w:name="_Toc134117524"/>
      <w:bookmarkStart w:id="74" w:name="_Toc134117209"/>
      <w:bookmarkStart w:id="75" w:name="_Toc134117525"/>
      <w:bookmarkStart w:id="76" w:name="_Toc134117210"/>
      <w:bookmarkStart w:id="77" w:name="_Toc134117526"/>
      <w:bookmarkStart w:id="78" w:name="_Toc134117211"/>
      <w:bookmarkStart w:id="79" w:name="_Toc134117527"/>
      <w:bookmarkStart w:id="80" w:name="_Toc134117212"/>
      <w:bookmarkStart w:id="81" w:name="_Toc134117528"/>
      <w:bookmarkStart w:id="82" w:name="_Toc134117213"/>
      <w:bookmarkStart w:id="83" w:name="_Toc134117529"/>
      <w:bookmarkStart w:id="84" w:name="_Toc134117214"/>
      <w:bookmarkStart w:id="85" w:name="_Toc134117530"/>
      <w:bookmarkStart w:id="86" w:name="_Toc134117215"/>
      <w:bookmarkStart w:id="87" w:name="_Toc134117531"/>
      <w:bookmarkStart w:id="88" w:name="_Toc134117216"/>
      <w:bookmarkStart w:id="89" w:name="_Toc134117532"/>
      <w:bookmarkStart w:id="90" w:name="_Toc134117217"/>
      <w:bookmarkStart w:id="91" w:name="_Toc134117533"/>
      <w:bookmarkStart w:id="92" w:name="_Toc134117218"/>
      <w:bookmarkStart w:id="93" w:name="_Toc134117534"/>
      <w:bookmarkStart w:id="94" w:name="_Toc134117219"/>
      <w:bookmarkStart w:id="95" w:name="_Toc134117535"/>
      <w:bookmarkStart w:id="96" w:name="_Toc134117220"/>
      <w:bookmarkStart w:id="97" w:name="_Toc134117536"/>
      <w:bookmarkStart w:id="98" w:name="_Toc134117221"/>
      <w:bookmarkStart w:id="99" w:name="_Toc134117537"/>
      <w:bookmarkStart w:id="100" w:name="_Toc134117222"/>
      <w:bookmarkStart w:id="101" w:name="_Toc134117538"/>
      <w:bookmarkStart w:id="102" w:name="_Toc134117223"/>
      <w:bookmarkStart w:id="103" w:name="_Toc134117539"/>
      <w:bookmarkStart w:id="104" w:name="_Toc134117224"/>
      <w:bookmarkStart w:id="105" w:name="_Toc134117540"/>
      <w:bookmarkStart w:id="106" w:name="_Toc134117225"/>
      <w:bookmarkStart w:id="107" w:name="_Toc134117541"/>
      <w:bookmarkStart w:id="108" w:name="_Toc134117226"/>
      <w:bookmarkStart w:id="109" w:name="_Toc134117542"/>
      <w:bookmarkStart w:id="110" w:name="_Toc134117227"/>
      <w:bookmarkStart w:id="111" w:name="_Toc134117543"/>
      <w:bookmarkStart w:id="112" w:name="_Toc13411754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4A7429">
        <w:t>Hospital 7</w:t>
      </w:r>
      <w:r w:rsidR="009A4BCA" w:rsidRPr="004A7429">
        <w:t>–</w:t>
      </w:r>
      <w:r w:rsidRPr="004A7429">
        <w:t>Day Follow</w:t>
      </w:r>
      <w:r w:rsidR="009A4BCA" w:rsidRPr="004A7429">
        <w:t>–</w:t>
      </w:r>
      <w:r w:rsidRPr="004A7429">
        <w:t>up</w:t>
      </w:r>
      <w:r w:rsidR="00FD3300" w:rsidRPr="004A7429">
        <w:t xml:space="preserve"> </w:t>
      </w:r>
      <w:r w:rsidR="00FF76B2" w:rsidRPr="004A7429">
        <w:t>(Encounter</w:t>
      </w:r>
      <w:r w:rsidR="00877C19" w:rsidRPr="004A7429">
        <w:t>-</w:t>
      </w:r>
      <w:r w:rsidR="0007247A" w:rsidRPr="004A7429">
        <w:t>B</w:t>
      </w:r>
      <w:r w:rsidR="00FF76B2" w:rsidRPr="004A7429">
        <w:t>ased)</w:t>
      </w:r>
      <w:bookmarkEnd w:id="112"/>
    </w:p>
    <w:p w14:paraId="5513E573" w14:textId="2DD11BDC" w:rsidR="00C92760" w:rsidRPr="00E33B17" w:rsidRDefault="00C92760">
      <w:pPr>
        <w:pStyle w:val="ListParagraph"/>
        <w:numPr>
          <w:ilvl w:val="2"/>
          <w:numId w:val="6"/>
        </w:numPr>
        <w:spacing w:before="120" w:after="120"/>
      </w:pPr>
      <w:r w:rsidRPr="00E33B17">
        <w:t xml:space="preserve">Target: </w:t>
      </w:r>
      <w:bookmarkStart w:id="113" w:name="_Hlk120544018"/>
      <w:r w:rsidR="005C45E5" w:rsidRPr="00E33B17">
        <w:t xml:space="preserve">At least </w:t>
      </w:r>
      <w:r w:rsidR="008913AD" w:rsidRPr="00E33B17">
        <w:t>62.3</w:t>
      </w:r>
      <w:r w:rsidR="005C45E5" w:rsidRPr="00E33B17">
        <w:t xml:space="preserve">% </w:t>
      </w:r>
      <w:r w:rsidRPr="00E33B17">
        <w:t xml:space="preserve">of individuals </w:t>
      </w:r>
      <w:r w:rsidR="00B91F0F" w:rsidRPr="00E33B17">
        <w:t xml:space="preserve">discharged </w:t>
      </w:r>
      <w:r w:rsidRPr="00E33B17">
        <w:t xml:space="preserve">from </w:t>
      </w:r>
      <w:r w:rsidR="00725880" w:rsidRPr="00E33B17">
        <w:t>a state hospital, a</w:t>
      </w:r>
      <w:r w:rsidR="00B235DF">
        <w:t>n</w:t>
      </w:r>
      <w:r w:rsidR="00725880" w:rsidRPr="00E33B17">
        <w:t xml:space="preserve"> </w:t>
      </w:r>
      <w:r w:rsidR="00B235DF">
        <w:t>HHSC</w:t>
      </w:r>
      <w:r w:rsidR="00725880" w:rsidRPr="00E33B17">
        <w:t xml:space="preserve"> Contracted Bed, a CMHH, or a PPB</w:t>
      </w:r>
      <w:r w:rsidR="00E72E0F" w:rsidRPr="00E33B17">
        <w:t xml:space="preserve"> </w:t>
      </w:r>
      <w:r w:rsidR="00C52D66" w:rsidRPr="00E33B17">
        <w:t xml:space="preserve">shall receive </w:t>
      </w:r>
      <w:r w:rsidR="007232E9" w:rsidRPr="00C72DF1">
        <w:t>a</w:t>
      </w:r>
      <w:r w:rsidR="009A0FFC" w:rsidRPr="00C72DF1">
        <w:t xml:space="preserve">n </w:t>
      </w:r>
      <w:r w:rsidR="007232E9" w:rsidRPr="00C72DF1">
        <w:t>in-person</w:t>
      </w:r>
      <w:r w:rsidR="009A0FFC" w:rsidRPr="00C72DF1">
        <w:t xml:space="preserve">, </w:t>
      </w:r>
      <w:r w:rsidR="007232E9" w:rsidRPr="00C72DF1">
        <w:t>synchronous audiovisual</w:t>
      </w:r>
      <w:r w:rsidR="009A0FFC" w:rsidRPr="00C72DF1">
        <w:t xml:space="preserve">, or synchronous </w:t>
      </w:r>
      <w:r w:rsidR="00F0652D" w:rsidRPr="00C72DF1">
        <w:t>audio-only</w:t>
      </w:r>
      <w:r w:rsidR="007232E9" w:rsidRPr="00C72DF1">
        <w:t xml:space="preserve"> follow-up</w:t>
      </w:r>
      <w:r w:rsidR="009A0FFC" w:rsidRPr="00C72DF1">
        <w:t xml:space="preserve"> </w:t>
      </w:r>
      <w:r w:rsidR="00C52D66" w:rsidRPr="00E33B17">
        <w:t xml:space="preserve">within </w:t>
      </w:r>
      <w:r w:rsidR="00F47412" w:rsidRPr="00E33B17">
        <w:t>seven</w:t>
      </w:r>
      <w:r w:rsidR="0017524E" w:rsidRPr="00E33B17">
        <w:t xml:space="preserve"> </w:t>
      </w:r>
      <w:r w:rsidR="00C52D66" w:rsidRPr="00E33B17">
        <w:t>days of discharge</w:t>
      </w:r>
      <w:r w:rsidRPr="00E33B17">
        <w:t>.</w:t>
      </w:r>
    </w:p>
    <w:bookmarkEnd w:id="113"/>
    <w:p w14:paraId="77564A6F" w14:textId="4614D478" w:rsidR="00C92760" w:rsidRPr="00E33B17" w:rsidRDefault="00C92760">
      <w:pPr>
        <w:pStyle w:val="ListParagraph"/>
        <w:numPr>
          <w:ilvl w:val="2"/>
          <w:numId w:val="6"/>
        </w:numPr>
        <w:spacing w:before="120" w:after="120"/>
      </w:pPr>
      <w:r w:rsidRPr="00E33B17">
        <w:t>Calculation: (Numerator/Denominator</w:t>
      </w:r>
      <w:r w:rsidR="00C72DF1">
        <w:t xml:space="preserve">) * </w:t>
      </w:r>
      <w:r w:rsidRPr="00E33B17">
        <w:t>100</w:t>
      </w:r>
    </w:p>
    <w:p w14:paraId="4472867A" w14:textId="723F6B7C" w:rsidR="00C92760" w:rsidRPr="00E33B17" w:rsidRDefault="00C92760">
      <w:pPr>
        <w:pStyle w:val="ListParagraph"/>
        <w:numPr>
          <w:ilvl w:val="2"/>
          <w:numId w:val="6"/>
        </w:numPr>
        <w:spacing w:before="120" w:after="120"/>
      </w:pPr>
      <w:r w:rsidRPr="00E33B17">
        <w:t xml:space="preserve">Numerator: </w:t>
      </w:r>
      <w:r w:rsidR="009F088E" w:rsidRPr="00E33B17">
        <w:t>The n</w:t>
      </w:r>
      <w:r w:rsidR="002E3A23" w:rsidRPr="00E33B17">
        <w:t xml:space="preserve">umber </w:t>
      </w:r>
      <w:r w:rsidR="00D81D48" w:rsidRPr="00E33B17">
        <w:t xml:space="preserve">with </w:t>
      </w:r>
      <w:r w:rsidR="00FD5F0C" w:rsidRPr="00C72DF1">
        <w:t>in-person</w:t>
      </w:r>
      <w:r w:rsidR="00B94FFE" w:rsidRPr="00C72DF1">
        <w:t>,</w:t>
      </w:r>
      <w:r w:rsidR="00FD5F0C" w:rsidRPr="00C72DF1">
        <w:t xml:space="preserve"> synchronous audiovisual</w:t>
      </w:r>
      <w:r w:rsidR="00B94FFE" w:rsidRPr="00C72DF1">
        <w:t xml:space="preserve">, or </w:t>
      </w:r>
      <w:r w:rsidR="00FD5F0C" w:rsidRPr="00C72DF1">
        <w:t xml:space="preserve">synchronous </w:t>
      </w:r>
      <w:r w:rsidR="00B94FFE" w:rsidRPr="00C72DF1">
        <w:t>audio-only</w:t>
      </w:r>
      <w:r w:rsidR="00FD5F0C" w:rsidRPr="00C72DF1">
        <w:t xml:space="preserve"> </w:t>
      </w:r>
      <w:r w:rsidR="004A7091" w:rsidRPr="00E33B17">
        <w:t>service encounters</w:t>
      </w:r>
      <w:r w:rsidR="002E3A23" w:rsidRPr="00E33B17">
        <w:t xml:space="preserve"> </w:t>
      </w:r>
      <w:r w:rsidR="00796EDE" w:rsidRPr="00E33B17">
        <w:t xml:space="preserve">within </w:t>
      </w:r>
      <w:r w:rsidR="00B94FFE" w:rsidRPr="00E33B17">
        <w:t>0-</w:t>
      </w:r>
      <w:r w:rsidR="00796EDE" w:rsidRPr="00E33B17">
        <w:t>7 days</w:t>
      </w:r>
      <w:r w:rsidR="00796EDE" w:rsidRPr="00E33B17" w:rsidDel="004463FA">
        <w:t xml:space="preserve"> </w:t>
      </w:r>
      <w:r w:rsidR="004A7091" w:rsidRPr="00E33B17">
        <w:t xml:space="preserve">of discharge. </w:t>
      </w:r>
    </w:p>
    <w:p w14:paraId="789DBD6D" w14:textId="3FF151A5" w:rsidR="00C92760" w:rsidRPr="00E33B17" w:rsidRDefault="00C92760">
      <w:pPr>
        <w:pStyle w:val="ListParagraph"/>
        <w:numPr>
          <w:ilvl w:val="2"/>
          <w:numId w:val="6"/>
        </w:numPr>
        <w:spacing w:before="120" w:after="120"/>
      </w:pPr>
      <w:r w:rsidRPr="00E33B17">
        <w:lastRenderedPageBreak/>
        <w:t xml:space="preserve">Denominator: </w:t>
      </w:r>
      <w:r w:rsidR="009F088E" w:rsidRPr="00E33B17">
        <w:t>The n</w:t>
      </w:r>
      <w:r w:rsidR="002E3A23" w:rsidRPr="00E33B17">
        <w:t xml:space="preserve">umber of </w:t>
      </w:r>
      <w:r w:rsidR="00187CD2" w:rsidRPr="00E33B17">
        <w:t>individuals discharged and reassigned</w:t>
      </w:r>
      <w:r w:rsidR="009D347F" w:rsidRPr="00E33B17">
        <w:t xml:space="preserve"> </w:t>
      </w:r>
      <w:r w:rsidR="00187CD2" w:rsidRPr="00E33B17">
        <w:t>to the local mental or behavioral health authority</w:t>
      </w:r>
      <w:r w:rsidR="0078213E" w:rsidRPr="00E33B17">
        <w:t xml:space="preserve">. </w:t>
      </w:r>
    </w:p>
    <w:p w14:paraId="5678E6E6" w14:textId="7E49E615" w:rsidR="00C92760" w:rsidRPr="00E33B17" w:rsidRDefault="00C92760">
      <w:pPr>
        <w:pStyle w:val="ListParagraph"/>
        <w:numPr>
          <w:ilvl w:val="2"/>
          <w:numId w:val="6"/>
        </w:numPr>
        <w:spacing w:before="120" w:after="120"/>
      </w:pPr>
      <w:r w:rsidRPr="00E33B17">
        <w:t xml:space="preserve">Exclusion(s)/Exception(s): </w:t>
      </w:r>
    </w:p>
    <w:p w14:paraId="773ED965" w14:textId="10C3623C" w:rsidR="00C92760" w:rsidRPr="00E33B17" w:rsidRDefault="00FD4A59">
      <w:pPr>
        <w:pStyle w:val="ListParagraph"/>
        <w:numPr>
          <w:ilvl w:val="3"/>
          <w:numId w:val="6"/>
        </w:numPr>
        <w:spacing w:before="120" w:after="120"/>
      </w:pPr>
      <w:r w:rsidRPr="00E33B17">
        <w:t>The following</w:t>
      </w:r>
      <w:r w:rsidR="00AF4675" w:rsidRPr="00E33B17">
        <w:t xml:space="preserve"> </w:t>
      </w:r>
      <w:r w:rsidR="009D5F46" w:rsidRPr="00E33B17">
        <w:t xml:space="preserve">discharge </w:t>
      </w:r>
      <w:r w:rsidR="00AF4675" w:rsidRPr="00E33B17">
        <w:t xml:space="preserve">situations </w:t>
      </w:r>
      <w:r w:rsidR="00A22F1B" w:rsidRPr="00E33B17">
        <w:t>are excluded</w:t>
      </w:r>
      <w:r w:rsidR="000C1828" w:rsidRPr="00E33B17">
        <w:t>:</w:t>
      </w:r>
    </w:p>
    <w:p w14:paraId="412701B6" w14:textId="77777777" w:rsidR="000C1828" w:rsidRPr="00E33B17" w:rsidRDefault="000C1828">
      <w:pPr>
        <w:pStyle w:val="ListParagraph"/>
        <w:numPr>
          <w:ilvl w:val="4"/>
          <w:numId w:val="7"/>
        </w:numPr>
      </w:pPr>
      <w:r w:rsidRPr="00E33B17">
        <w:t>Arrest to Jail;</w:t>
      </w:r>
    </w:p>
    <w:p w14:paraId="10796D13" w14:textId="77777777" w:rsidR="000C1828" w:rsidRPr="00E33B17" w:rsidRDefault="000C1828">
      <w:pPr>
        <w:pStyle w:val="ListParagraph"/>
        <w:numPr>
          <w:ilvl w:val="4"/>
          <w:numId w:val="7"/>
        </w:numPr>
      </w:pPr>
      <w:r w:rsidRPr="00E33B17">
        <w:t>Court Release;</w:t>
      </w:r>
    </w:p>
    <w:p w14:paraId="1D5A3018" w14:textId="77777777" w:rsidR="000C1828" w:rsidRPr="00E33B17" w:rsidRDefault="000C1828">
      <w:pPr>
        <w:pStyle w:val="ListParagraph"/>
        <w:numPr>
          <w:ilvl w:val="4"/>
          <w:numId w:val="7"/>
        </w:numPr>
      </w:pPr>
      <w:r w:rsidRPr="00E33B17">
        <w:t>Children’s Protective Services;</w:t>
      </w:r>
    </w:p>
    <w:p w14:paraId="27F3D96B" w14:textId="77777777" w:rsidR="000C1828" w:rsidRPr="00E33B17" w:rsidRDefault="000C1828">
      <w:pPr>
        <w:pStyle w:val="ListParagraph"/>
        <w:numPr>
          <w:ilvl w:val="4"/>
          <w:numId w:val="7"/>
        </w:numPr>
      </w:pPr>
      <w:r w:rsidRPr="00E33B17">
        <w:t>Involuntary Unauthorized Departure;</w:t>
      </w:r>
    </w:p>
    <w:p w14:paraId="50E8A966" w14:textId="77777777" w:rsidR="000C1828" w:rsidRPr="00E33B17" w:rsidRDefault="000C1828">
      <w:pPr>
        <w:pStyle w:val="ListParagraph"/>
        <w:numPr>
          <w:ilvl w:val="4"/>
          <w:numId w:val="7"/>
        </w:numPr>
      </w:pPr>
      <w:r w:rsidRPr="00E33B17">
        <w:t>Jail;</w:t>
      </w:r>
    </w:p>
    <w:p w14:paraId="08B78B7E" w14:textId="77777777" w:rsidR="000C1828" w:rsidRPr="00E33B17" w:rsidRDefault="000C1828">
      <w:pPr>
        <w:pStyle w:val="ListParagraph"/>
        <w:numPr>
          <w:ilvl w:val="4"/>
          <w:numId w:val="7"/>
        </w:numPr>
      </w:pPr>
      <w:r w:rsidRPr="00E33B17">
        <w:t>Medical Inpatient;</w:t>
      </w:r>
    </w:p>
    <w:p w14:paraId="046F27A9" w14:textId="77777777" w:rsidR="000C1828" w:rsidRPr="00E33B17" w:rsidRDefault="000C1828">
      <w:pPr>
        <w:pStyle w:val="ListParagraph"/>
        <w:numPr>
          <w:ilvl w:val="4"/>
          <w:numId w:val="7"/>
        </w:numPr>
      </w:pPr>
      <w:r w:rsidRPr="00E33B17">
        <w:t>Out of State;</w:t>
      </w:r>
    </w:p>
    <w:p w14:paraId="37512B6D" w14:textId="77777777" w:rsidR="000C1828" w:rsidRPr="00E33B17" w:rsidRDefault="000C1828">
      <w:pPr>
        <w:pStyle w:val="ListParagraph"/>
        <w:numPr>
          <w:ilvl w:val="4"/>
          <w:numId w:val="7"/>
        </w:numPr>
      </w:pPr>
      <w:r w:rsidRPr="00E33B17">
        <w:t>Private Provider;</w:t>
      </w:r>
    </w:p>
    <w:p w14:paraId="3FFBD4CE" w14:textId="77777777" w:rsidR="000C1828" w:rsidRPr="00E33B17" w:rsidRDefault="000C1828">
      <w:pPr>
        <w:pStyle w:val="ListParagraph"/>
        <w:numPr>
          <w:ilvl w:val="4"/>
          <w:numId w:val="7"/>
        </w:numPr>
      </w:pPr>
      <w:r w:rsidRPr="00E33B17">
        <w:t>Private Psychiatric Hospital;</w:t>
      </w:r>
    </w:p>
    <w:p w14:paraId="3B1FC55E" w14:textId="77777777" w:rsidR="000C1828" w:rsidRPr="00E33B17" w:rsidRDefault="000C1828">
      <w:pPr>
        <w:pStyle w:val="ListParagraph"/>
        <w:numPr>
          <w:ilvl w:val="4"/>
          <w:numId w:val="7"/>
        </w:numPr>
      </w:pPr>
      <w:r w:rsidRPr="00E33B17">
        <w:t>Private Residential Treatment Center;</w:t>
      </w:r>
    </w:p>
    <w:p w14:paraId="4CE37B84" w14:textId="77777777" w:rsidR="000C1828" w:rsidRPr="00E33B17" w:rsidRDefault="000C1828">
      <w:pPr>
        <w:pStyle w:val="ListParagraph"/>
        <w:numPr>
          <w:ilvl w:val="4"/>
          <w:numId w:val="7"/>
        </w:numPr>
      </w:pPr>
      <w:r w:rsidRPr="00E33B17">
        <w:t>Single Diagnosis Substance Abuse;</w:t>
      </w:r>
    </w:p>
    <w:p w14:paraId="4E066506" w14:textId="740CB434" w:rsidR="000C1828" w:rsidRPr="00E33B17" w:rsidRDefault="000C1828">
      <w:pPr>
        <w:pStyle w:val="ListParagraph"/>
        <w:numPr>
          <w:ilvl w:val="4"/>
          <w:numId w:val="7"/>
        </w:numPr>
      </w:pPr>
      <w:r w:rsidRPr="00E33B17">
        <w:t>State</w:t>
      </w:r>
      <w:r w:rsidR="006D0944" w:rsidRPr="00E33B17">
        <w:t>-</w:t>
      </w:r>
      <w:r w:rsidRPr="00E33B17">
        <w:t>Funded Community Hospital;</w:t>
      </w:r>
    </w:p>
    <w:p w14:paraId="665E6A7F" w14:textId="77777777" w:rsidR="000C1828" w:rsidRPr="00E33B17" w:rsidRDefault="000C1828">
      <w:pPr>
        <w:pStyle w:val="ListParagraph"/>
        <w:numPr>
          <w:ilvl w:val="4"/>
          <w:numId w:val="7"/>
        </w:numPr>
      </w:pPr>
      <w:r w:rsidRPr="00E33B17">
        <w:t>State Hospital;</w:t>
      </w:r>
    </w:p>
    <w:p w14:paraId="4F2889BD" w14:textId="77777777" w:rsidR="000C1828" w:rsidRPr="00E33B17" w:rsidRDefault="000C1828">
      <w:pPr>
        <w:pStyle w:val="ListParagraph"/>
        <w:numPr>
          <w:ilvl w:val="4"/>
          <w:numId w:val="7"/>
        </w:numPr>
      </w:pPr>
      <w:r w:rsidRPr="00E33B17">
        <w:t>State School;</w:t>
      </w:r>
    </w:p>
    <w:p w14:paraId="6138FE4F" w14:textId="77777777" w:rsidR="000C1828" w:rsidRPr="00E33B17" w:rsidRDefault="000C1828">
      <w:pPr>
        <w:pStyle w:val="ListParagraph"/>
        <w:numPr>
          <w:ilvl w:val="4"/>
          <w:numId w:val="7"/>
        </w:numPr>
      </w:pPr>
      <w:r w:rsidRPr="00E33B17">
        <w:t>Substance Abuse Treatment Center (Inpatient);</w:t>
      </w:r>
    </w:p>
    <w:p w14:paraId="6281170E" w14:textId="77777777" w:rsidR="000C1828" w:rsidRPr="00E33B17" w:rsidRDefault="000C1828">
      <w:pPr>
        <w:pStyle w:val="ListParagraph"/>
        <w:numPr>
          <w:ilvl w:val="4"/>
          <w:numId w:val="7"/>
        </w:numPr>
      </w:pPr>
      <w:r w:rsidRPr="00E33B17">
        <w:t>Veterans Administration Inpatient;</w:t>
      </w:r>
    </w:p>
    <w:p w14:paraId="0D5E65AE" w14:textId="77777777" w:rsidR="000C1828" w:rsidRPr="00E33B17" w:rsidRDefault="000C1828">
      <w:pPr>
        <w:pStyle w:val="ListParagraph"/>
        <w:numPr>
          <w:ilvl w:val="4"/>
          <w:numId w:val="7"/>
        </w:numPr>
      </w:pPr>
      <w:r w:rsidRPr="00E33B17">
        <w:t>Veterans Administration Outpatient; and</w:t>
      </w:r>
    </w:p>
    <w:p w14:paraId="796F85C5" w14:textId="77777777" w:rsidR="000C1828" w:rsidRPr="00E33B17" w:rsidRDefault="000C1828">
      <w:pPr>
        <w:pStyle w:val="ListParagraph"/>
        <w:numPr>
          <w:ilvl w:val="4"/>
          <w:numId w:val="7"/>
        </w:numPr>
      </w:pPr>
      <w:r w:rsidRPr="00E33B17">
        <w:t>Voluntary Unauthorized Departure.</w:t>
      </w:r>
    </w:p>
    <w:p w14:paraId="466BD44C" w14:textId="266A2368" w:rsidR="0022278E" w:rsidRPr="00E33B17" w:rsidRDefault="0022278E">
      <w:pPr>
        <w:pStyle w:val="ListParagraph"/>
        <w:numPr>
          <w:ilvl w:val="3"/>
          <w:numId w:val="6"/>
        </w:numPr>
        <w:spacing w:before="120" w:after="120"/>
      </w:pPr>
      <w:r w:rsidRPr="00E33B17">
        <w:t xml:space="preserve">If a client is </w:t>
      </w:r>
      <w:r w:rsidR="000A3CC0" w:rsidRPr="00E33B17">
        <w:t xml:space="preserve">discharged to the local authority </w:t>
      </w:r>
      <w:r w:rsidRPr="00E33B17">
        <w:t xml:space="preserve">and </w:t>
      </w:r>
      <w:r w:rsidR="000A3CC0" w:rsidRPr="00E33B17">
        <w:t xml:space="preserve">readmitted </w:t>
      </w:r>
      <w:r w:rsidRPr="00E33B17">
        <w:t xml:space="preserve">in less than 7 days, </w:t>
      </w:r>
      <w:r w:rsidR="009D3F34" w:rsidRPr="00E33B17">
        <w:t xml:space="preserve">then </w:t>
      </w:r>
      <w:r w:rsidRPr="00E33B17">
        <w:t>follow</w:t>
      </w:r>
      <w:r w:rsidR="009A4BCA" w:rsidRPr="00E33B17">
        <w:t>–</w:t>
      </w:r>
      <w:r w:rsidRPr="00E33B17">
        <w:t xml:space="preserve">up will be expected </w:t>
      </w:r>
      <w:r w:rsidR="003B027D" w:rsidRPr="00E33B17">
        <w:t>upon</w:t>
      </w:r>
      <w:r w:rsidRPr="00E33B17">
        <w:t xml:space="preserve"> </w:t>
      </w:r>
      <w:r w:rsidR="000A3CC0" w:rsidRPr="00E33B17">
        <w:t>discharge</w:t>
      </w:r>
      <w:r w:rsidRPr="00E33B17">
        <w:t xml:space="preserve">. </w:t>
      </w:r>
    </w:p>
    <w:p w14:paraId="70393FB8" w14:textId="6C4BC04D" w:rsidR="00604474" w:rsidRPr="00E33B17" w:rsidRDefault="00197279">
      <w:pPr>
        <w:pStyle w:val="ListParagraph"/>
        <w:numPr>
          <w:ilvl w:val="3"/>
          <w:numId w:val="6"/>
        </w:numPr>
        <w:spacing w:before="120" w:after="120"/>
      </w:pPr>
      <w:r w:rsidRPr="00E33B17">
        <w:t>Hotline</w:t>
      </w:r>
      <w:r w:rsidR="00604474" w:rsidRPr="00E33B17">
        <w:t xml:space="preserve"> calls are excluded </w:t>
      </w:r>
      <w:r w:rsidRPr="00E33B17">
        <w:t>from the numerator.</w:t>
      </w:r>
    </w:p>
    <w:p w14:paraId="1CFCB7E7" w14:textId="39260D21" w:rsidR="00C92760" w:rsidRDefault="00C92760">
      <w:pPr>
        <w:pStyle w:val="ListParagraph"/>
        <w:numPr>
          <w:ilvl w:val="2"/>
          <w:numId w:val="6"/>
        </w:numPr>
        <w:spacing w:before="120" w:after="120"/>
      </w:pPr>
      <w:r w:rsidRPr="00E33B17">
        <w:t>Data Source</w:t>
      </w:r>
      <w:r w:rsidR="0068270A">
        <w:t xml:space="preserve">: </w:t>
      </w:r>
      <w:r w:rsidRPr="00E33B17">
        <w:t>CARE, CMBHS and MBOW.</w:t>
      </w:r>
    </w:p>
    <w:p w14:paraId="50EDF98B" w14:textId="77777777" w:rsidR="00382E6A" w:rsidRPr="00E33B17" w:rsidRDefault="00382E6A" w:rsidP="00C72DF1">
      <w:pPr>
        <w:spacing w:before="120" w:after="120"/>
      </w:pPr>
    </w:p>
    <w:p w14:paraId="2627D28A" w14:textId="2ED9AFC8" w:rsidR="000F6942" w:rsidRPr="004A7429" w:rsidRDefault="004D0706">
      <w:pPr>
        <w:pStyle w:val="Heading2"/>
      </w:pPr>
      <w:bookmarkStart w:id="114" w:name="_Toc134117545"/>
      <w:r w:rsidRPr="004A7429">
        <w:t>Crisis 7</w:t>
      </w:r>
      <w:r w:rsidR="009A4BCA" w:rsidRPr="004A7429">
        <w:t>–</w:t>
      </w:r>
      <w:r w:rsidRPr="004A7429">
        <w:t>Day Follow</w:t>
      </w:r>
      <w:r w:rsidR="009A4BCA" w:rsidRPr="004A7429">
        <w:t>–</w:t>
      </w:r>
      <w:r w:rsidRPr="004A7429">
        <w:t>up</w:t>
      </w:r>
      <w:bookmarkEnd w:id="114"/>
    </w:p>
    <w:p w14:paraId="60C4C5C2" w14:textId="3B8F8999" w:rsidR="000F6942" w:rsidRPr="00E33B17" w:rsidRDefault="000F6942">
      <w:pPr>
        <w:pStyle w:val="ListParagraph"/>
        <w:numPr>
          <w:ilvl w:val="2"/>
          <w:numId w:val="6"/>
        </w:numPr>
        <w:spacing w:before="120" w:after="120"/>
      </w:pPr>
      <w:r w:rsidRPr="00E33B17">
        <w:t>Target</w:t>
      </w:r>
      <w:r w:rsidR="0068270A">
        <w:t xml:space="preserve">: </w:t>
      </w:r>
      <w:r w:rsidR="004D3E1C" w:rsidRPr="00E33B17">
        <w:t xml:space="preserve">The percentage of </w:t>
      </w:r>
      <w:r w:rsidR="00F758F8" w:rsidRPr="00E33B17">
        <w:t xml:space="preserve">crisis episodes for </w:t>
      </w:r>
      <w:r w:rsidR="004D3E1C" w:rsidRPr="00E33B17">
        <w:t>adults</w:t>
      </w:r>
      <w:r w:rsidR="00C2671B" w:rsidRPr="00E33B17">
        <w:t xml:space="preserve"> and children </w:t>
      </w:r>
      <w:r w:rsidR="004D3E1C" w:rsidRPr="00E33B17">
        <w:t>in LOC</w:t>
      </w:r>
      <w:r w:rsidR="009A4BCA" w:rsidRPr="00E33B17">
        <w:t>–</w:t>
      </w:r>
      <w:r w:rsidR="004D3E1C" w:rsidRPr="00E33B17">
        <w:t>A 0 with a follow</w:t>
      </w:r>
      <w:r w:rsidR="009A4BCA" w:rsidRPr="00E33B17">
        <w:t>–</w:t>
      </w:r>
      <w:r w:rsidR="004D3E1C" w:rsidRPr="00E33B17">
        <w:t xml:space="preserve">up service contact </w:t>
      </w:r>
      <w:r w:rsidR="000F232F" w:rsidRPr="00E33B17">
        <w:t>1</w:t>
      </w:r>
      <w:r w:rsidR="009A4BCA" w:rsidRPr="00E33B17">
        <w:t>–</w:t>
      </w:r>
      <w:r w:rsidR="004D3E1C" w:rsidRPr="00E33B17">
        <w:t xml:space="preserve">7 days after the </w:t>
      </w:r>
      <w:r w:rsidR="00960CDE" w:rsidRPr="00E33B17">
        <w:t xml:space="preserve">date of the </w:t>
      </w:r>
      <w:r w:rsidR="00B559AC" w:rsidRPr="00E33B17">
        <w:t xml:space="preserve">last </w:t>
      </w:r>
      <w:r w:rsidR="004D3E1C" w:rsidRPr="00E33B17">
        <w:t>crisis service</w:t>
      </w:r>
      <w:r w:rsidR="00480D8B" w:rsidRPr="00E33B17">
        <w:t xml:space="preserve"> in the</w:t>
      </w:r>
      <w:r w:rsidR="00B559AC" w:rsidRPr="00E33B17">
        <w:t xml:space="preserve"> crisis episode</w:t>
      </w:r>
      <w:r w:rsidR="004D3E1C" w:rsidRPr="00E33B17">
        <w:t>.</w:t>
      </w:r>
    </w:p>
    <w:p w14:paraId="77E38435" w14:textId="378C9348" w:rsidR="000F6942" w:rsidRPr="00E33B17" w:rsidRDefault="000F6942">
      <w:pPr>
        <w:pStyle w:val="ListParagraph"/>
        <w:numPr>
          <w:ilvl w:val="2"/>
          <w:numId w:val="6"/>
        </w:numPr>
        <w:spacing w:before="120" w:after="120"/>
      </w:pPr>
      <w:r w:rsidRPr="00E33B17">
        <w:t>Calculation: (Numerator/Denominator</w:t>
      </w:r>
      <w:r w:rsidR="00C72DF1">
        <w:t xml:space="preserve">) * </w:t>
      </w:r>
      <w:r w:rsidRPr="00E33B17">
        <w:t>100</w:t>
      </w:r>
    </w:p>
    <w:p w14:paraId="6E53D232" w14:textId="58172D28" w:rsidR="000F6942" w:rsidRPr="00E33B17" w:rsidRDefault="000F6942">
      <w:pPr>
        <w:pStyle w:val="ListParagraph"/>
        <w:numPr>
          <w:ilvl w:val="2"/>
          <w:numId w:val="6"/>
        </w:numPr>
        <w:spacing w:before="120" w:after="120"/>
      </w:pPr>
      <w:r w:rsidRPr="00E33B17">
        <w:t>Numerator:</w:t>
      </w:r>
      <w:r w:rsidR="00504A89" w:rsidRPr="00E33B17">
        <w:t xml:space="preserve"> The number </w:t>
      </w:r>
      <w:r w:rsidR="00D81D48" w:rsidRPr="00E33B17">
        <w:t>with a</w:t>
      </w:r>
      <w:r w:rsidR="00504A89" w:rsidRPr="00E33B17">
        <w:t xml:space="preserve"> follow</w:t>
      </w:r>
      <w:r w:rsidR="009A4BCA" w:rsidRPr="00E33B17">
        <w:t>–</w:t>
      </w:r>
      <w:r w:rsidR="00504A89" w:rsidRPr="00E33B17">
        <w:t xml:space="preserve">up service contact </w:t>
      </w:r>
      <w:r w:rsidR="000F232F" w:rsidRPr="00E33B17">
        <w:t>1</w:t>
      </w:r>
      <w:r w:rsidR="009A4BCA" w:rsidRPr="00E33B17">
        <w:t>–</w:t>
      </w:r>
      <w:r w:rsidR="00504A89" w:rsidRPr="00E33B17">
        <w:t xml:space="preserve">7 days after the </w:t>
      </w:r>
      <w:r w:rsidR="00480D8B" w:rsidRPr="00E33B17">
        <w:t xml:space="preserve">last </w:t>
      </w:r>
      <w:r w:rsidR="00504A89" w:rsidRPr="00E33B17">
        <w:t>crisis service</w:t>
      </w:r>
      <w:r w:rsidR="00480D8B" w:rsidRPr="00E33B17">
        <w:t xml:space="preserve"> in the crisis episode</w:t>
      </w:r>
      <w:r w:rsidR="0078213E" w:rsidRPr="00E33B17">
        <w:t xml:space="preserve">. </w:t>
      </w:r>
      <w:r w:rsidR="00D65BC8" w:rsidRPr="00E33B17">
        <w:t>Acceptable follow</w:t>
      </w:r>
      <w:r w:rsidR="009A4BCA" w:rsidRPr="00E33B17">
        <w:t>–</w:t>
      </w:r>
      <w:r w:rsidR="00D65BC8" w:rsidRPr="00E33B17">
        <w:t>up contacts include non</w:t>
      </w:r>
      <w:r w:rsidR="009A4BCA" w:rsidRPr="00E33B17">
        <w:t>–</w:t>
      </w:r>
      <w:r w:rsidR="00D65BC8" w:rsidRPr="00E33B17">
        <w:t>crisis encounters and crisis follow</w:t>
      </w:r>
      <w:r w:rsidR="009A4BCA" w:rsidRPr="00E33B17">
        <w:t>–</w:t>
      </w:r>
      <w:r w:rsidR="00D65BC8" w:rsidRPr="00E33B17">
        <w:t xml:space="preserve">up (H0036) encounters. Contacts may be </w:t>
      </w:r>
      <w:r w:rsidR="005B2B88" w:rsidRPr="00E33B17">
        <w:t>in person,</w:t>
      </w:r>
      <w:r w:rsidR="003D2C00" w:rsidRPr="00E33B17">
        <w:t xml:space="preserve"> </w:t>
      </w:r>
      <w:r w:rsidR="005B2B88" w:rsidRPr="00E33B17">
        <w:t>synchronous audiovisual, or synchronous audio-only</w:t>
      </w:r>
      <w:r w:rsidR="0078213E" w:rsidRPr="00E33B17">
        <w:t xml:space="preserve">. </w:t>
      </w:r>
    </w:p>
    <w:p w14:paraId="20B3CC91" w14:textId="2503D72B" w:rsidR="000F6942" w:rsidRPr="00E33B17" w:rsidRDefault="000F6942">
      <w:pPr>
        <w:pStyle w:val="ListParagraph"/>
        <w:numPr>
          <w:ilvl w:val="2"/>
          <w:numId w:val="6"/>
        </w:numPr>
        <w:spacing w:before="120" w:after="120"/>
      </w:pPr>
      <w:r w:rsidRPr="00E33B17">
        <w:t>Denominator:</w:t>
      </w:r>
      <w:r w:rsidR="00504A89" w:rsidRPr="00E33B17">
        <w:t xml:space="preserve"> The </w:t>
      </w:r>
      <w:r w:rsidR="00147818" w:rsidRPr="00E33B17">
        <w:t>number of</w:t>
      </w:r>
      <w:r w:rsidR="00F758F8" w:rsidRPr="00E33B17">
        <w:t xml:space="preserve"> crisis episodes for</w:t>
      </w:r>
      <w:r w:rsidR="00147818" w:rsidRPr="00E33B17">
        <w:t xml:space="preserve"> individuals </w:t>
      </w:r>
      <w:r w:rsidR="00A610A6" w:rsidRPr="00E33B17">
        <w:t xml:space="preserve">in </w:t>
      </w:r>
      <w:r w:rsidR="00504A89" w:rsidRPr="00E33B17">
        <w:t>LOC</w:t>
      </w:r>
      <w:r w:rsidR="009A4BCA" w:rsidRPr="00E33B17">
        <w:t>–</w:t>
      </w:r>
      <w:r w:rsidR="00504A89" w:rsidRPr="00E33B17">
        <w:t>A = 0.</w:t>
      </w:r>
    </w:p>
    <w:p w14:paraId="2CBB88A8" w14:textId="77777777" w:rsidR="00960CDE" w:rsidRPr="00E33B17" w:rsidRDefault="000F6942">
      <w:pPr>
        <w:pStyle w:val="ListParagraph"/>
        <w:numPr>
          <w:ilvl w:val="2"/>
          <w:numId w:val="6"/>
        </w:numPr>
        <w:spacing w:before="120" w:after="120"/>
      </w:pPr>
      <w:r w:rsidRPr="00E33B17">
        <w:lastRenderedPageBreak/>
        <w:t xml:space="preserve">Exclusion(s)/Exception(s): </w:t>
      </w:r>
    </w:p>
    <w:p w14:paraId="31764E6D" w14:textId="6C85B614" w:rsidR="000F6942" w:rsidRPr="00E33B17" w:rsidRDefault="00504A89">
      <w:pPr>
        <w:pStyle w:val="ListParagraph"/>
        <w:numPr>
          <w:ilvl w:val="3"/>
          <w:numId w:val="6"/>
        </w:numPr>
        <w:spacing w:before="120" w:after="120"/>
      </w:pPr>
      <w:r w:rsidRPr="00E33B17">
        <w:t xml:space="preserve">In the event that a </w:t>
      </w:r>
      <w:r w:rsidR="00E45598" w:rsidRPr="00E33B17">
        <w:t xml:space="preserve">crisis episode involves multiple </w:t>
      </w:r>
      <w:r w:rsidR="004E51DC" w:rsidRPr="00E33B17">
        <w:t xml:space="preserve">service </w:t>
      </w:r>
      <w:r w:rsidR="00E45598" w:rsidRPr="00E33B17">
        <w:t>encounters, follow-up is only required for the last service encount</w:t>
      </w:r>
      <w:r w:rsidR="00D8247C" w:rsidRPr="00E33B17">
        <w:t>er in the episode</w:t>
      </w:r>
      <w:r w:rsidRPr="00E33B17">
        <w:t>.</w:t>
      </w:r>
      <w:r w:rsidR="00270FD2" w:rsidRPr="00E33B17">
        <w:t xml:space="preserve"> If there are fewer than 7 days between crisis encounters, then they are considered part of the same episode.</w:t>
      </w:r>
    </w:p>
    <w:p w14:paraId="737D8AD1" w14:textId="60A716B9" w:rsidR="003300E4" w:rsidRPr="00E33B17" w:rsidRDefault="003300E4">
      <w:pPr>
        <w:pStyle w:val="ListParagraph"/>
        <w:numPr>
          <w:ilvl w:val="3"/>
          <w:numId w:val="6"/>
        </w:numPr>
        <w:spacing w:before="120" w:after="120"/>
      </w:pPr>
      <w:r w:rsidRPr="00E33B17">
        <w:t>Hotline calls are excluded from the denominator.</w:t>
      </w:r>
    </w:p>
    <w:p w14:paraId="35DCBBE3" w14:textId="77777777" w:rsidR="00050E04" w:rsidRPr="00E33B17" w:rsidRDefault="00050E04">
      <w:pPr>
        <w:pStyle w:val="ListParagraph"/>
        <w:numPr>
          <w:ilvl w:val="3"/>
          <w:numId w:val="6"/>
        </w:numPr>
        <w:spacing w:before="120" w:after="120"/>
      </w:pPr>
      <w:r w:rsidRPr="00E33B17">
        <w:t xml:space="preserve">Follow–up contacts cannot occur on the same date as the crisis service. </w:t>
      </w:r>
    </w:p>
    <w:p w14:paraId="15D4F629" w14:textId="06389B81" w:rsidR="000F6942" w:rsidRDefault="000F6942">
      <w:pPr>
        <w:pStyle w:val="ListParagraph"/>
        <w:numPr>
          <w:ilvl w:val="2"/>
          <w:numId w:val="6"/>
        </w:numPr>
        <w:spacing w:before="120" w:after="120"/>
      </w:pPr>
      <w:r w:rsidRPr="00E33B17">
        <w:t>Data Source</w:t>
      </w:r>
      <w:r w:rsidR="0068270A">
        <w:t xml:space="preserve">: </w:t>
      </w:r>
      <w:r w:rsidRPr="00E33B17">
        <w:t>CARE, CMBHS</w:t>
      </w:r>
      <w:r w:rsidR="001C6100" w:rsidRPr="00E33B17">
        <w:t>,</w:t>
      </w:r>
      <w:r w:rsidRPr="00E33B17">
        <w:t xml:space="preserve"> and MBOW.</w:t>
      </w:r>
    </w:p>
    <w:p w14:paraId="25F444FC" w14:textId="6EDDBA70" w:rsidR="00A15174" w:rsidRDefault="00A15174">
      <w:pPr>
        <w:pStyle w:val="Heading1"/>
      </w:pPr>
      <w:bookmarkStart w:id="115" w:name="_Toc134117546"/>
      <w:r w:rsidRPr="004A7429">
        <w:t>Adult Services</w:t>
      </w:r>
      <w:bookmarkEnd w:id="115"/>
    </w:p>
    <w:p w14:paraId="4B465D96" w14:textId="19AC18A5" w:rsidR="00382E6A" w:rsidRDefault="00382E6A" w:rsidP="00C72DF1">
      <w:pPr>
        <w:spacing w:after="0"/>
        <w:rPr>
          <w:b/>
          <w:bCs/>
          <w:sz w:val="28"/>
          <w:szCs w:val="28"/>
        </w:rPr>
      </w:pPr>
    </w:p>
    <w:p w14:paraId="7A3A1FA5" w14:textId="15F060E0" w:rsidR="00560B3E" w:rsidRPr="00BE3E90" w:rsidRDefault="00560B3E" w:rsidP="00BE3E90">
      <w:r>
        <w:t>Unless otherwise noted below, m</w:t>
      </w:r>
      <w:r w:rsidRPr="00BE3E90">
        <w:t>easures shall be assessed 37 calendar days following the close of Quarter 2 (measuring Quarters 1 and 2) and Quarter 4 (Measuring Quarters 3 and 4). Quarters start September 1st of each year and end August 31st of each year</w:t>
      </w:r>
      <w:r w:rsidR="0078213E" w:rsidRPr="00BE3E90">
        <w:t xml:space="preserve">. </w:t>
      </w:r>
      <w:r w:rsidRPr="00BE3E90">
        <w:t xml:space="preserve">For each measure Grantee does not meet, </w:t>
      </w:r>
      <w:r>
        <w:t>HHSC may</w:t>
      </w:r>
      <w:r w:rsidRPr="00BE3E90">
        <w:t xml:space="preserve"> employ remedies/sanctions available under Article VII of Contract Attachment C, LMHA Special Conditions.</w:t>
      </w:r>
    </w:p>
    <w:p w14:paraId="11C31362" w14:textId="77777777" w:rsidR="00560B3E" w:rsidRPr="00C72DF1" w:rsidRDefault="00560B3E" w:rsidP="00C72DF1">
      <w:pPr>
        <w:spacing w:after="0"/>
        <w:rPr>
          <w:b/>
          <w:bCs/>
          <w:sz w:val="28"/>
          <w:szCs w:val="28"/>
        </w:rPr>
      </w:pPr>
    </w:p>
    <w:p w14:paraId="03CF2A1E" w14:textId="77777777" w:rsidR="005A1935" w:rsidRPr="004A7429" w:rsidRDefault="005A1935">
      <w:pPr>
        <w:pStyle w:val="Heading2"/>
      </w:pPr>
      <w:bookmarkStart w:id="116" w:name="_Toc134117547"/>
      <w:r w:rsidRPr="004A7429">
        <w:t>Adult Monthly Service Provision</w:t>
      </w:r>
      <w:bookmarkEnd w:id="116"/>
    </w:p>
    <w:p w14:paraId="3D8F8648" w14:textId="06DF0C86" w:rsidR="005A1935" w:rsidRPr="00E33B17" w:rsidRDefault="005A1935">
      <w:pPr>
        <w:pStyle w:val="ListParagraph"/>
        <w:numPr>
          <w:ilvl w:val="2"/>
          <w:numId w:val="6"/>
        </w:numPr>
        <w:spacing w:before="120" w:after="120"/>
      </w:pPr>
      <w:r w:rsidRPr="00E33B17">
        <w:t xml:space="preserve">Target: An average </w:t>
      </w:r>
      <w:r w:rsidR="001C188B">
        <w:t xml:space="preserve">of </w:t>
      </w:r>
      <w:r w:rsidRPr="00E33B17">
        <w:t xml:space="preserve">at least 65.6% of adults authorized in a FLOC shall receive at least one </w:t>
      </w:r>
      <w:r w:rsidR="00373028" w:rsidRPr="00E33B17">
        <w:t>in-person</w:t>
      </w:r>
      <w:r w:rsidR="002029FD" w:rsidRPr="00E33B17">
        <w:t xml:space="preserve">, </w:t>
      </w:r>
      <w:r w:rsidR="00373028" w:rsidRPr="00E33B17">
        <w:t>synchronous audiovisual</w:t>
      </w:r>
      <w:r w:rsidR="002029FD" w:rsidRPr="00E33B17">
        <w:t>, or synchronous audio-only</w:t>
      </w:r>
      <w:r w:rsidRPr="00E33B17">
        <w:t xml:space="preserve"> encounter each month. </w:t>
      </w:r>
    </w:p>
    <w:p w14:paraId="461F59A3" w14:textId="5B54056C" w:rsidR="005A1935" w:rsidRPr="00E33B17" w:rsidRDefault="005A1935">
      <w:pPr>
        <w:pStyle w:val="ListParagraph"/>
        <w:numPr>
          <w:ilvl w:val="2"/>
          <w:numId w:val="6"/>
        </w:numPr>
        <w:spacing w:before="120" w:after="120"/>
      </w:pPr>
      <w:r w:rsidRPr="00E33B17">
        <w:t>Calculation</w:t>
      </w:r>
      <w:r w:rsidR="0068270A">
        <w:t xml:space="preserve">: </w:t>
      </w:r>
      <w:r w:rsidRPr="00E33B17">
        <w:t>(Numerator/Denominator</w:t>
      </w:r>
      <w:r w:rsidR="00C72DF1">
        <w:t xml:space="preserve">) * </w:t>
      </w:r>
      <w:r w:rsidRPr="00E33B17">
        <w:t>100</w:t>
      </w:r>
    </w:p>
    <w:p w14:paraId="3BBEA81E" w14:textId="2DCBA189" w:rsidR="005A1935" w:rsidRPr="00E33B17" w:rsidRDefault="005A1935">
      <w:pPr>
        <w:pStyle w:val="ListParagraph"/>
        <w:numPr>
          <w:ilvl w:val="2"/>
          <w:numId w:val="6"/>
        </w:numPr>
        <w:spacing w:before="120" w:after="120"/>
      </w:pPr>
      <w:r w:rsidRPr="00E33B17">
        <w:t xml:space="preserve">Numerator: The number receiving at least one </w:t>
      </w:r>
      <w:r w:rsidR="00373028" w:rsidRPr="00E33B17">
        <w:t>in-person</w:t>
      </w:r>
      <w:r w:rsidR="002029FD" w:rsidRPr="00E33B17">
        <w:t xml:space="preserve">, </w:t>
      </w:r>
      <w:r w:rsidR="00373028" w:rsidRPr="00E33B17">
        <w:t>synchronous audiovisual</w:t>
      </w:r>
      <w:r w:rsidR="002029FD" w:rsidRPr="00E33B17">
        <w:t>, or synchronous audio-only</w:t>
      </w:r>
      <w:r w:rsidRPr="00E33B17">
        <w:t xml:space="preserve"> encounter in that month. Encounters may be for any service and for any length of time</w:t>
      </w:r>
      <w:r w:rsidR="0078213E" w:rsidRPr="00E33B17">
        <w:t xml:space="preserve">. </w:t>
      </w:r>
    </w:p>
    <w:p w14:paraId="1C4461F0" w14:textId="1E2BEA65" w:rsidR="005A1935" w:rsidRPr="00E33B17" w:rsidRDefault="005A1935">
      <w:pPr>
        <w:pStyle w:val="ListParagraph"/>
        <w:numPr>
          <w:ilvl w:val="2"/>
          <w:numId w:val="6"/>
        </w:numPr>
        <w:spacing w:before="120" w:after="120"/>
      </w:pPr>
      <w:r w:rsidRPr="00E33B17">
        <w:t>Denominator: Total number of adults authorized in a FLOC for the full month.</w:t>
      </w:r>
    </w:p>
    <w:p w14:paraId="066E0244" w14:textId="77777777" w:rsidR="005A1935" w:rsidRPr="00E33B17" w:rsidRDefault="005A1935">
      <w:pPr>
        <w:pStyle w:val="ListParagraph"/>
        <w:numPr>
          <w:ilvl w:val="2"/>
          <w:numId w:val="6"/>
        </w:numPr>
        <w:spacing w:before="120" w:after="120"/>
      </w:pPr>
      <w:r w:rsidRPr="00E33B17">
        <w:t>On a semi–annual basis, the percentage for each of the six months within that time period is averaged to calculate whether the measure is met.</w:t>
      </w:r>
    </w:p>
    <w:p w14:paraId="4559A885" w14:textId="4A76252D" w:rsidR="005A1935" w:rsidRPr="00E33B17" w:rsidRDefault="005A1935">
      <w:pPr>
        <w:pStyle w:val="ListParagraph"/>
        <w:numPr>
          <w:ilvl w:val="2"/>
          <w:numId w:val="6"/>
        </w:numPr>
        <w:spacing w:before="120" w:after="120"/>
      </w:pPr>
      <w:r w:rsidRPr="00E33B17">
        <w:t>Exclusion(s)/Exception(s)</w:t>
      </w:r>
      <w:r w:rsidR="0068270A">
        <w:t xml:space="preserve">: </w:t>
      </w:r>
    </w:p>
    <w:p w14:paraId="1BA2CA8A" w14:textId="317D01C5" w:rsidR="005A1935" w:rsidRPr="00E33B17" w:rsidRDefault="005A1935">
      <w:pPr>
        <w:pStyle w:val="ListParagraph"/>
        <w:numPr>
          <w:ilvl w:val="3"/>
          <w:numId w:val="6"/>
        </w:numPr>
        <w:spacing w:before="120" w:after="120"/>
      </w:pPr>
      <w:r w:rsidRPr="00E33B17">
        <w:t>Individuals authorized in LOC–1M</w:t>
      </w:r>
      <w:r w:rsidR="00F67422" w:rsidRPr="00E33B17">
        <w:t>;</w:t>
      </w:r>
    </w:p>
    <w:p w14:paraId="4F40C9E7" w14:textId="23B9B4EA" w:rsidR="005A1935" w:rsidRPr="00E33B17" w:rsidRDefault="005A1935">
      <w:pPr>
        <w:pStyle w:val="ListParagraph"/>
        <w:numPr>
          <w:ilvl w:val="3"/>
          <w:numId w:val="6"/>
        </w:numPr>
        <w:spacing w:before="120" w:after="120"/>
      </w:pPr>
      <w:r w:rsidRPr="00E33B17">
        <w:t>Individuals both recommended and authorized for LOC–1S</w:t>
      </w:r>
      <w:r w:rsidR="00F67422" w:rsidRPr="00E33B17">
        <w:t>;</w:t>
      </w:r>
      <w:r w:rsidRPr="00E33B17">
        <w:t xml:space="preserve"> </w:t>
      </w:r>
    </w:p>
    <w:p w14:paraId="24F12201" w14:textId="0D3D11D5" w:rsidR="002D7B9C" w:rsidRPr="00E33B17" w:rsidRDefault="00F67422">
      <w:pPr>
        <w:pStyle w:val="ListParagraph"/>
        <w:numPr>
          <w:ilvl w:val="3"/>
          <w:numId w:val="6"/>
        </w:numPr>
        <w:spacing w:before="120" w:after="120"/>
      </w:pPr>
      <w:r w:rsidRPr="00C72DF1">
        <w:lastRenderedPageBreak/>
        <w:t>Hotline calls and e</w:t>
      </w:r>
      <w:r w:rsidR="00841270" w:rsidRPr="00C72DF1">
        <w:t xml:space="preserve">ncounters with </w:t>
      </w:r>
      <w:r w:rsidR="005A1935" w:rsidRPr="00C72DF1">
        <w:t xml:space="preserve">GJ </w:t>
      </w:r>
      <w:r w:rsidRPr="00E33B17">
        <w:t>modifiers;</w:t>
      </w:r>
    </w:p>
    <w:p w14:paraId="0AFFF833" w14:textId="7AE1D451" w:rsidR="002D7B9C" w:rsidRPr="00E33B17" w:rsidRDefault="005A1935">
      <w:pPr>
        <w:pStyle w:val="ListParagraph"/>
        <w:numPr>
          <w:ilvl w:val="3"/>
          <w:numId w:val="6"/>
        </w:numPr>
        <w:spacing w:before="120" w:after="120"/>
      </w:pPr>
      <w:r w:rsidRPr="00E33B17">
        <w:t>Partially authorized months and their associated hours; and</w:t>
      </w:r>
    </w:p>
    <w:p w14:paraId="19E13EAF" w14:textId="545F0B71" w:rsidR="005A1935" w:rsidRPr="00E33B17" w:rsidRDefault="005A1935">
      <w:pPr>
        <w:pStyle w:val="ListParagraph"/>
        <w:numPr>
          <w:ilvl w:val="3"/>
          <w:numId w:val="6"/>
        </w:numPr>
        <w:spacing w:before="120" w:after="120"/>
      </w:pPr>
      <w:r w:rsidRPr="00E33B17">
        <w:t>Client months with a change in LOC–A.</w:t>
      </w:r>
    </w:p>
    <w:p w14:paraId="1D8D9092" w14:textId="4826D541" w:rsidR="005A1935" w:rsidRPr="00E33B17" w:rsidRDefault="005A1935">
      <w:pPr>
        <w:pStyle w:val="ListParagraph"/>
        <w:numPr>
          <w:ilvl w:val="2"/>
          <w:numId w:val="6"/>
        </w:numPr>
        <w:spacing w:before="120" w:after="120"/>
      </w:pPr>
      <w:r w:rsidRPr="00E33B17">
        <w:t>Data Source: CMBHS and MBOW.</w:t>
      </w:r>
    </w:p>
    <w:p w14:paraId="77AD7670" w14:textId="77777777" w:rsidR="00282EB3" w:rsidRPr="00E33B17" w:rsidRDefault="00282EB3" w:rsidP="00C72DF1"/>
    <w:p w14:paraId="270732F8" w14:textId="369D7D23" w:rsidR="00A15174" w:rsidRPr="004A7429" w:rsidRDefault="00F7052C">
      <w:pPr>
        <w:pStyle w:val="Heading2"/>
      </w:pPr>
      <w:bookmarkStart w:id="117" w:name="_Toc134117548"/>
      <w:r w:rsidRPr="004A7429">
        <w:t>Adult Service Target</w:t>
      </w:r>
      <w:bookmarkEnd w:id="117"/>
    </w:p>
    <w:p w14:paraId="5A3B0924" w14:textId="0D991CC6" w:rsidR="00A15174" w:rsidRPr="00E33B17" w:rsidRDefault="00A15174">
      <w:pPr>
        <w:pStyle w:val="ListParagraph"/>
        <w:numPr>
          <w:ilvl w:val="2"/>
          <w:numId w:val="8"/>
        </w:numPr>
        <w:spacing w:before="120" w:after="120"/>
      </w:pPr>
      <w:r w:rsidRPr="00E33B17">
        <w:t xml:space="preserve">Target: </w:t>
      </w:r>
      <w:r w:rsidR="00B87262" w:rsidRPr="00E33B17">
        <w:t xml:space="preserve">The average monthly number of adults authorized in a Full Level of Care (FLOC). </w:t>
      </w:r>
      <w:r w:rsidR="00D95416" w:rsidRPr="00E33B17">
        <w:t>The statewide performance level for the adult service target is 100%</w:t>
      </w:r>
      <w:r w:rsidRPr="00E33B17">
        <w:t>.</w:t>
      </w:r>
    </w:p>
    <w:p w14:paraId="25DA9AFF" w14:textId="5E6CA73A" w:rsidR="00A15174" w:rsidRPr="00E33B17" w:rsidRDefault="00A15174">
      <w:pPr>
        <w:pStyle w:val="ListParagraph"/>
        <w:numPr>
          <w:ilvl w:val="2"/>
          <w:numId w:val="8"/>
        </w:numPr>
        <w:spacing w:before="120" w:after="120"/>
      </w:pPr>
      <w:r w:rsidRPr="00E33B17">
        <w:t>Calculation: (Numerator/Denominator</w:t>
      </w:r>
      <w:r w:rsidR="00C72DF1">
        <w:t xml:space="preserve">) * </w:t>
      </w:r>
      <w:r w:rsidRPr="00E33B17">
        <w:t>100</w:t>
      </w:r>
    </w:p>
    <w:p w14:paraId="4E78F836" w14:textId="1BBC536B" w:rsidR="00A15174" w:rsidRPr="00E33B17" w:rsidRDefault="00A15174">
      <w:pPr>
        <w:pStyle w:val="ListParagraph"/>
        <w:numPr>
          <w:ilvl w:val="2"/>
          <w:numId w:val="8"/>
        </w:numPr>
        <w:spacing w:before="120" w:after="120"/>
      </w:pPr>
      <w:r w:rsidRPr="00E33B17">
        <w:t xml:space="preserve">Numerator: </w:t>
      </w:r>
      <w:r w:rsidR="00D95416" w:rsidRPr="00E33B17">
        <w:t>The number of Client Months in which a client was authorized in a FLOC</w:t>
      </w:r>
      <w:r w:rsidRPr="00E33B17">
        <w:t>.</w:t>
      </w:r>
    </w:p>
    <w:p w14:paraId="11D705B7" w14:textId="22D8EA64" w:rsidR="00A15174" w:rsidRPr="00E33B17" w:rsidRDefault="00A15174">
      <w:pPr>
        <w:pStyle w:val="ListParagraph"/>
        <w:numPr>
          <w:ilvl w:val="2"/>
          <w:numId w:val="8"/>
        </w:numPr>
        <w:spacing w:before="120" w:after="120"/>
      </w:pPr>
      <w:r w:rsidRPr="00E33B17">
        <w:t xml:space="preserve">Denominator: </w:t>
      </w:r>
      <w:r w:rsidR="00D95416" w:rsidRPr="00E33B17">
        <w:t xml:space="preserve">The target assigned to the </w:t>
      </w:r>
      <w:r w:rsidR="00B235DF">
        <w:t>Grantee</w:t>
      </w:r>
      <w:r w:rsidR="00D95416" w:rsidRPr="00E33B17">
        <w:t xml:space="preserve"> times six months</w:t>
      </w:r>
      <w:r w:rsidRPr="00E33B17">
        <w:t>.</w:t>
      </w:r>
    </w:p>
    <w:p w14:paraId="0102E5A5" w14:textId="76A4D2D8" w:rsidR="00A15174" w:rsidRPr="00E33B17" w:rsidRDefault="00A15174">
      <w:pPr>
        <w:pStyle w:val="ListParagraph"/>
        <w:numPr>
          <w:ilvl w:val="2"/>
          <w:numId w:val="8"/>
        </w:numPr>
        <w:spacing w:before="120" w:after="120"/>
      </w:pPr>
      <w:r w:rsidRPr="00E33B17">
        <w:t>Exclusion(s)/Exception(s):</w:t>
      </w:r>
      <w:r w:rsidR="00311D7D" w:rsidRPr="00E33B17">
        <w:t xml:space="preserve"> N/A</w:t>
      </w:r>
    </w:p>
    <w:p w14:paraId="514B28BF" w14:textId="568A6F9B" w:rsidR="00A15174" w:rsidRDefault="00A15174">
      <w:pPr>
        <w:pStyle w:val="ListParagraph"/>
        <w:numPr>
          <w:ilvl w:val="2"/>
          <w:numId w:val="8"/>
        </w:numPr>
        <w:spacing w:before="120" w:after="120"/>
      </w:pPr>
      <w:r w:rsidRPr="00E33B17">
        <w:t>Data Source</w:t>
      </w:r>
      <w:r w:rsidR="0068270A">
        <w:t xml:space="preserve">: </w:t>
      </w:r>
      <w:r w:rsidRPr="00E33B17">
        <w:t>CMBHS and MBOW.</w:t>
      </w:r>
    </w:p>
    <w:p w14:paraId="61B88AA4" w14:textId="77777777" w:rsidR="00D76172" w:rsidRPr="00E33B17" w:rsidRDefault="00D76172" w:rsidP="00C72DF1">
      <w:pPr>
        <w:spacing w:before="120" w:after="120"/>
      </w:pPr>
    </w:p>
    <w:p w14:paraId="2581C667" w14:textId="796E80CF" w:rsidR="00F855AE" w:rsidRPr="004A7429" w:rsidRDefault="00F855AE">
      <w:pPr>
        <w:pStyle w:val="Heading2"/>
      </w:pPr>
      <w:bookmarkStart w:id="118" w:name="_Toc134117549"/>
      <w:bookmarkStart w:id="119" w:name="_Toc134117550"/>
      <w:bookmarkStart w:id="120" w:name="_Toc134117551"/>
      <w:bookmarkStart w:id="121" w:name="_Toc134117552"/>
      <w:bookmarkStart w:id="122" w:name="_Toc134117553"/>
      <w:bookmarkStart w:id="123" w:name="_Toc134117554"/>
      <w:bookmarkStart w:id="124" w:name="_Toc134117555"/>
      <w:bookmarkStart w:id="125" w:name="_Toc134117556"/>
      <w:bookmarkStart w:id="126" w:name="_Toc134117557"/>
      <w:bookmarkEnd w:id="118"/>
      <w:bookmarkEnd w:id="119"/>
      <w:bookmarkEnd w:id="120"/>
      <w:bookmarkEnd w:id="121"/>
      <w:bookmarkEnd w:id="122"/>
      <w:bookmarkEnd w:id="123"/>
      <w:bookmarkEnd w:id="124"/>
      <w:bookmarkEnd w:id="125"/>
      <w:r w:rsidRPr="004A7429">
        <w:t xml:space="preserve">ACT </w:t>
      </w:r>
      <w:r w:rsidR="00DD603B" w:rsidRPr="004A7429">
        <w:t xml:space="preserve">Authorization </w:t>
      </w:r>
      <w:r w:rsidRPr="004A7429">
        <w:t>Target</w:t>
      </w:r>
      <w:bookmarkEnd w:id="126"/>
    </w:p>
    <w:p w14:paraId="7EA52F89" w14:textId="77777777" w:rsidR="00F855AE" w:rsidRPr="00E33B17" w:rsidRDefault="00F855AE">
      <w:pPr>
        <w:pStyle w:val="ListParagraph"/>
        <w:numPr>
          <w:ilvl w:val="2"/>
          <w:numId w:val="9"/>
        </w:numPr>
        <w:spacing w:before="120" w:after="120"/>
      </w:pPr>
      <w:r w:rsidRPr="00E33B17">
        <w:t xml:space="preserve">Target: </w:t>
      </w:r>
      <w:r w:rsidR="00174718" w:rsidRPr="00E33B17">
        <w:t>An average of at least 54.0%</w:t>
      </w:r>
      <w:r w:rsidRPr="00E33B17">
        <w:t xml:space="preserve"> of all adults recommended for LOC 4 </w:t>
      </w:r>
      <w:r w:rsidR="00174718" w:rsidRPr="00E33B17">
        <w:t xml:space="preserve">shall be </w:t>
      </w:r>
      <w:r w:rsidRPr="00E33B17">
        <w:t>authorized into LOC</w:t>
      </w:r>
      <w:r w:rsidR="009A4BCA" w:rsidRPr="00E33B17">
        <w:t>–</w:t>
      </w:r>
      <w:r w:rsidRPr="00E33B17">
        <w:t>3 or LOC</w:t>
      </w:r>
      <w:r w:rsidR="009A4BCA" w:rsidRPr="00E33B17">
        <w:t>–</w:t>
      </w:r>
      <w:r w:rsidRPr="00E33B17">
        <w:t>4</w:t>
      </w:r>
      <w:r w:rsidR="008F28CA" w:rsidRPr="00E33B17">
        <w:t>.</w:t>
      </w:r>
      <w:r w:rsidRPr="00E33B17">
        <w:t xml:space="preserve"> </w:t>
      </w:r>
    </w:p>
    <w:p w14:paraId="221D9DF9" w14:textId="3B305AFF" w:rsidR="00F855AE" w:rsidRPr="00E33B17" w:rsidRDefault="00F855AE">
      <w:pPr>
        <w:pStyle w:val="ListParagraph"/>
        <w:numPr>
          <w:ilvl w:val="2"/>
          <w:numId w:val="9"/>
        </w:numPr>
        <w:spacing w:before="120" w:after="120"/>
      </w:pPr>
      <w:r w:rsidRPr="00E33B17">
        <w:t>Calculation: (Numerator/Denominator</w:t>
      </w:r>
      <w:r w:rsidR="00C72DF1">
        <w:t xml:space="preserve">) * </w:t>
      </w:r>
      <w:r w:rsidRPr="00E33B17">
        <w:t>100</w:t>
      </w:r>
    </w:p>
    <w:p w14:paraId="65420F07" w14:textId="77777777" w:rsidR="00F855AE" w:rsidRPr="00E33B17" w:rsidRDefault="00F855AE">
      <w:pPr>
        <w:pStyle w:val="ListParagraph"/>
        <w:numPr>
          <w:ilvl w:val="2"/>
          <w:numId w:val="9"/>
        </w:numPr>
        <w:spacing w:before="120" w:after="120"/>
      </w:pPr>
      <w:r w:rsidRPr="00E33B17">
        <w:t xml:space="preserve">Numerator: </w:t>
      </w:r>
      <w:r w:rsidR="008354E6" w:rsidRPr="00E33B17">
        <w:t xml:space="preserve">The number of </w:t>
      </w:r>
      <w:r w:rsidR="003A6270" w:rsidRPr="00E33B17">
        <w:t>Client M</w:t>
      </w:r>
      <w:r w:rsidR="00B11DDF" w:rsidRPr="00E33B17">
        <w:t xml:space="preserve">onths </w:t>
      </w:r>
      <w:r w:rsidR="000A1A27" w:rsidRPr="00E33B17">
        <w:t xml:space="preserve">in </w:t>
      </w:r>
      <w:r w:rsidR="00CD6F91" w:rsidRPr="00E33B17">
        <w:t xml:space="preserve">which </w:t>
      </w:r>
      <w:r w:rsidR="008354E6" w:rsidRPr="00E33B17">
        <w:t>adults recommended for LOC</w:t>
      </w:r>
      <w:r w:rsidR="009A4BCA" w:rsidRPr="00E33B17">
        <w:t>–</w:t>
      </w:r>
      <w:r w:rsidR="008354E6" w:rsidRPr="00E33B17">
        <w:t xml:space="preserve">4 </w:t>
      </w:r>
      <w:proofErr w:type="gramStart"/>
      <w:r w:rsidR="00CD6F91" w:rsidRPr="00E33B17">
        <w:t>are</w:t>
      </w:r>
      <w:proofErr w:type="gramEnd"/>
      <w:r w:rsidR="00CD6F91" w:rsidRPr="00E33B17">
        <w:t xml:space="preserve"> </w:t>
      </w:r>
      <w:r w:rsidR="008354E6" w:rsidRPr="00E33B17">
        <w:t>authorized into LOC</w:t>
      </w:r>
      <w:r w:rsidR="009A4BCA" w:rsidRPr="00E33B17">
        <w:t>–</w:t>
      </w:r>
      <w:r w:rsidR="008354E6" w:rsidRPr="00E33B17">
        <w:t>3 or LOC</w:t>
      </w:r>
      <w:r w:rsidR="009A4BCA" w:rsidRPr="00E33B17">
        <w:t>–</w:t>
      </w:r>
      <w:r w:rsidR="008354E6" w:rsidRPr="00E33B17">
        <w:t>4</w:t>
      </w:r>
      <w:r w:rsidRPr="00E33B17">
        <w:t>.</w:t>
      </w:r>
    </w:p>
    <w:p w14:paraId="32477AE0" w14:textId="77777777" w:rsidR="00F855AE" w:rsidRPr="00E33B17" w:rsidRDefault="00F855AE">
      <w:pPr>
        <w:pStyle w:val="ListParagraph"/>
        <w:numPr>
          <w:ilvl w:val="2"/>
          <w:numId w:val="9"/>
        </w:numPr>
        <w:spacing w:before="120" w:after="120"/>
      </w:pPr>
      <w:r w:rsidRPr="00E33B17">
        <w:t xml:space="preserve">Denominator: </w:t>
      </w:r>
      <w:r w:rsidR="008354E6" w:rsidRPr="00E33B17">
        <w:t xml:space="preserve">The number of </w:t>
      </w:r>
      <w:r w:rsidR="003A6270" w:rsidRPr="00E33B17">
        <w:t>Client M</w:t>
      </w:r>
      <w:r w:rsidR="00B11DDF" w:rsidRPr="00E33B17">
        <w:t xml:space="preserve">onths </w:t>
      </w:r>
      <w:r w:rsidR="000A1A27" w:rsidRPr="00E33B17">
        <w:t xml:space="preserve">in which </w:t>
      </w:r>
      <w:r w:rsidR="008354E6" w:rsidRPr="00E33B17">
        <w:t xml:space="preserve">adults </w:t>
      </w:r>
      <w:r w:rsidR="000A1A27" w:rsidRPr="00E33B17">
        <w:t xml:space="preserve">are </w:t>
      </w:r>
      <w:r w:rsidR="008354E6" w:rsidRPr="00E33B17">
        <w:t>recommended for LOC</w:t>
      </w:r>
      <w:r w:rsidR="009A4BCA" w:rsidRPr="00E33B17">
        <w:t>–</w:t>
      </w:r>
      <w:r w:rsidR="008354E6" w:rsidRPr="00E33B17">
        <w:t>4</w:t>
      </w:r>
      <w:r w:rsidRPr="00E33B17">
        <w:t>.</w:t>
      </w:r>
    </w:p>
    <w:p w14:paraId="7B41BC76" w14:textId="491FB3B7" w:rsidR="00F855AE" w:rsidRPr="00E33B17" w:rsidRDefault="00F855AE">
      <w:pPr>
        <w:pStyle w:val="ListParagraph"/>
        <w:numPr>
          <w:ilvl w:val="2"/>
          <w:numId w:val="9"/>
        </w:numPr>
        <w:spacing w:before="120" w:after="120"/>
      </w:pPr>
      <w:r w:rsidRPr="00E33B17">
        <w:t>Exclusion(s)/Exception(s): N/A</w:t>
      </w:r>
    </w:p>
    <w:p w14:paraId="156C9527" w14:textId="285A47CF" w:rsidR="00F855AE" w:rsidRPr="00E33B17" w:rsidRDefault="00F855AE">
      <w:pPr>
        <w:pStyle w:val="ListParagraph"/>
        <w:numPr>
          <w:ilvl w:val="2"/>
          <w:numId w:val="9"/>
        </w:numPr>
        <w:spacing w:before="120" w:after="120"/>
      </w:pPr>
      <w:r w:rsidRPr="00E33B17">
        <w:t>Data Source</w:t>
      </w:r>
      <w:r w:rsidR="0068270A">
        <w:t xml:space="preserve">: </w:t>
      </w:r>
      <w:r w:rsidRPr="00E33B17">
        <w:t>CMBHS and MBOW.</w:t>
      </w:r>
    </w:p>
    <w:p w14:paraId="73AD71D9" w14:textId="5FF58572" w:rsidR="000729A4" w:rsidRPr="00E33B17" w:rsidRDefault="000729A4" w:rsidP="00C72DF1"/>
    <w:p w14:paraId="0CF12143" w14:textId="0AD1360A" w:rsidR="000729A4" w:rsidRPr="004A7429" w:rsidRDefault="000729A4">
      <w:pPr>
        <w:pStyle w:val="Heading2"/>
      </w:pPr>
      <w:bookmarkStart w:id="127" w:name="_Toc134117558"/>
      <w:r w:rsidRPr="004A7429">
        <w:t>Depression Response at Six Months</w:t>
      </w:r>
      <w:bookmarkEnd w:id="127"/>
    </w:p>
    <w:p w14:paraId="1995B26D" w14:textId="448C58BF" w:rsidR="000729A4" w:rsidRPr="00E33B17" w:rsidRDefault="000729A4">
      <w:pPr>
        <w:pStyle w:val="ListParagraph"/>
        <w:numPr>
          <w:ilvl w:val="2"/>
          <w:numId w:val="10"/>
        </w:numPr>
        <w:spacing w:before="120" w:after="120"/>
      </w:pPr>
      <w:r w:rsidRPr="00E33B17">
        <w:t xml:space="preserve">Target: </w:t>
      </w:r>
      <w:r w:rsidR="00BA6F21" w:rsidRPr="00E33B17">
        <w:t>An average of 10.4%</w:t>
      </w:r>
      <w:r w:rsidRPr="00E33B17">
        <w:t xml:space="preserve"> of adults authorized in a FLOC with a diagnosis of major depression and an initial QIDS score greater than or equal to 11 </w:t>
      </w:r>
      <w:r w:rsidR="00BA6F21" w:rsidRPr="00E33B17">
        <w:t>shall</w:t>
      </w:r>
      <w:r w:rsidRPr="00E33B17">
        <w:t xml:space="preserve"> have a follow–up QIDS score at six months that is reduced by 50% or greater from the initial QIDS score and/or is less than or equal to 7.</w:t>
      </w:r>
    </w:p>
    <w:p w14:paraId="1EEAC416" w14:textId="38BE4A50" w:rsidR="000729A4" w:rsidRPr="00E33B17" w:rsidRDefault="000729A4">
      <w:pPr>
        <w:pStyle w:val="ListParagraph"/>
        <w:numPr>
          <w:ilvl w:val="2"/>
          <w:numId w:val="10"/>
        </w:numPr>
        <w:spacing w:before="120" w:after="120"/>
      </w:pPr>
      <w:r w:rsidRPr="00E33B17">
        <w:lastRenderedPageBreak/>
        <w:t>Calculation: (Numerator/Denominator</w:t>
      </w:r>
      <w:r w:rsidR="00C72DF1">
        <w:t xml:space="preserve">) * </w:t>
      </w:r>
      <w:r w:rsidRPr="00E33B17">
        <w:t>100.</w:t>
      </w:r>
    </w:p>
    <w:p w14:paraId="2F713438" w14:textId="0C8FD00F" w:rsidR="000729A4" w:rsidRPr="00E33B17" w:rsidRDefault="000729A4">
      <w:pPr>
        <w:pStyle w:val="ListParagraph"/>
        <w:numPr>
          <w:ilvl w:val="2"/>
          <w:numId w:val="10"/>
        </w:numPr>
        <w:spacing w:before="120" w:after="120"/>
      </w:pPr>
      <w:r w:rsidRPr="00E33B17">
        <w:t xml:space="preserve">Numerator: The number of adults with a follow-up QIDS administered 150 – 210 days after the initial QIDS who have a follow-up score &lt;= 7 or a follow-up score reduced by 50% or more compared to the initial </w:t>
      </w:r>
      <w:r w:rsidR="0078213E">
        <w:t>QIDS.</w:t>
      </w:r>
    </w:p>
    <w:p w14:paraId="24ED12F9" w14:textId="61D38675" w:rsidR="000729A4" w:rsidRPr="00E33B17" w:rsidRDefault="000729A4">
      <w:pPr>
        <w:pStyle w:val="ListParagraph"/>
        <w:numPr>
          <w:ilvl w:val="2"/>
          <w:numId w:val="10"/>
        </w:numPr>
        <w:spacing w:before="120" w:after="120"/>
      </w:pPr>
      <w:r w:rsidRPr="00E33B17">
        <w:t xml:space="preserve">Denominator: The number of adults in a FLOC with a diagnosis of major depression and an initial QIDS administered 150-210 days prior to the measurement period with a score &gt;=11 and a second QIDS administered 150-210 after the initial </w:t>
      </w:r>
      <w:r w:rsidR="0078213E">
        <w:t>QIDS.</w:t>
      </w:r>
    </w:p>
    <w:p w14:paraId="35FDB100" w14:textId="7735A4D1" w:rsidR="000729A4" w:rsidRPr="00E33B17" w:rsidRDefault="000729A4">
      <w:pPr>
        <w:pStyle w:val="ListParagraph"/>
        <w:numPr>
          <w:ilvl w:val="2"/>
          <w:numId w:val="10"/>
        </w:numPr>
        <w:spacing w:before="120" w:after="120"/>
      </w:pPr>
      <w:r w:rsidRPr="00E33B17">
        <w:t>Exclusion(s)/Exception(s): Individuals who are deceased, individuals who are permanent residents of a nursing facility, and individuals with a diagnosis (in any position) of bipolar or personality disorder.</w:t>
      </w:r>
    </w:p>
    <w:p w14:paraId="14BD055C" w14:textId="710EE431" w:rsidR="000729A4" w:rsidRPr="00E33B17" w:rsidRDefault="000729A4">
      <w:pPr>
        <w:pStyle w:val="ListParagraph"/>
        <w:numPr>
          <w:ilvl w:val="2"/>
          <w:numId w:val="10"/>
        </w:numPr>
        <w:spacing w:before="120" w:after="120"/>
      </w:pPr>
      <w:r w:rsidRPr="00E33B17">
        <w:t>Data Source</w:t>
      </w:r>
      <w:r w:rsidR="0068270A">
        <w:t xml:space="preserve">: </w:t>
      </w:r>
      <w:r w:rsidRPr="00E33B17">
        <w:t>CMBHS and MBOW.</w:t>
      </w:r>
    </w:p>
    <w:p w14:paraId="690D4ABE" w14:textId="77777777" w:rsidR="000729A4" w:rsidRPr="00E33B17" w:rsidRDefault="000729A4" w:rsidP="00C72DF1"/>
    <w:p w14:paraId="01A2C3A7" w14:textId="64E3343C" w:rsidR="0042446B" w:rsidRPr="004A7429" w:rsidRDefault="0042446B">
      <w:pPr>
        <w:pStyle w:val="Heading2"/>
      </w:pPr>
      <w:bookmarkStart w:id="128" w:name="_Toc134117559"/>
      <w:r w:rsidRPr="004A7429">
        <w:t xml:space="preserve">Employment </w:t>
      </w:r>
      <w:r w:rsidR="004325E9" w:rsidRPr="004A7429">
        <w:t>Functioning</w:t>
      </w:r>
      <w:bookmarkEnd w:id="128"/>
    </w:p>
    <w:p w14:paraId="5C387FE9" w14:textId="77777777" w:rsidR="0042446B" w:rsidRPr="00E33B17" w:rsidRDefault="0042446B">
      <w:pPr>
        <w:pStyle w:val="ListParagraph"/>
        <w:numPr>
          <w:ilvl w:val="2"/>
          <w:numId w:val="11"/>
        </w:numPr>
        <w:spacing w:before="120" w:after="120"/>
      </w:pPr>
      <w:r w:rsidRPr="00E33B17">
        <w:t xml:space="preserve">Target: </w:t>
      </w:r>
      <w:r w:rsidR="008F28CA" w:rsidRPr="00E33B17">
        <w:t xml:space="preserve">At least </w:t>
      </w:r>
      <w:r w:rsidR="005E5EDA" w:rsidRPr="00E33B17">
        <w:t>39.8</w:t>
      </w:r>
      <w:r w:rsidR="008F28CA" w:rsidRPr="00E33B17">
        <w:t>%</w:t>
      </w:r>
      <w:r w:rsidR="00143C6E" w:rsidRPr="00E33B17">
        <w:t xml:space="preserve"> of adults authorized in a FLOC </w:t>
      </w:r>
      <w:r w:rsidR="008F28CA" w:rsidRPr="00E33B17">
        <w:t xml:space="preserve">shall have </w:t>
      </w:r>
      <w:r w:rsidR="00143C6E" w:rsidRPr="00E33B17">
        <w:t>acceptable or improved employment.</w:t>
      </w:r>
    </w:p>
    <w:p w14:paraId="7E8FE7DB" w14:textId="51500488" w:rsidR="00F42591" w:rsidRPr="00E33B17" w:rsidRDefault="00F42591">
      <w:pPr>
        <w:pStyle w:val="ListParagraph"/>
        <w:numPr>
          <w:ilvl w:val="2"/>
          <w:numId w:val="11"/>
        </w:numPr>
        <w:spacing w:before="120" w:after="120"/>
      </w:pPr>
      <w:r w:rsidRPr="00E33B17">
        <w:t>Calculation: (Numerator/Denominator</w:t>
      </w:r>
      <w:r w:rsidR="00C72DF1">
        <w:t xml:space="preserve">) * </w:t>
      </w:r>
      <w:r w:rsidRPr="00E33B17">
        <w:t>100</w:t>
      </w:r>
    </w:p>
    <w:p w14:paraId="71BEBC89" w14:textId="77777777" w:rsidR="00F42591" w:rsidRPr="00E33B17" w:rsidRDefault="00462415">
      <w:pPr>
        <w:pStyle w:val="ListParagraph"/>
        <w:numPr>
          <w:ilvl w:val="2"/>
          <w:numId w:val="11"/>
        </w:numPr>
        <w:spacing w:before="120" w:after="120"/>
      </w:pPr>
      <w:r w:rsidRPr="00E33B17">
        <w:t xml:space="preserve">Numerator: The number who meet or exceed the RCI benchmark in the direction of improvement for the ANSA Employment item </w:t>
      </w:r>
      <w:r w:rsidR="008A6CD2" w:rsidRPr="00E33B17">
        <w:t>OR</w:t>
      </w:r>
      <w:r w:rsidRPr="00E33B17">
        <w:t xml:space="preserve"> who have ANSA Employment item scores of 0, 1 at both </w:t>
      </w:r>
      <w:r w:rsidR="002A5AA0" w:rsidRPr="00E33B17">
        <w:t>f</w:t>
      </w:r>
      <w:r w:rsidRPr="00E33B17">
        <w:t xml:space="preserve">irst and </w:t>
      </w:r>
      <w:r w:rsidR="002A5AA0" w:rsidRPr="00E33B17">
        <w:t>l</w:t>
      </w:r>
      <w:r w:rsidRPr="00E33B17">
        <w:t xml:space="preserve">ast UAs. </w:t>
      </w:r>
    </w:p>
    <w:p w14:paraId="3D53B6E6" w14:textId="77777777" w:rsidR="0042446B" w:rsidRPr="00E33B17" w:rsidRDefault="0042446B">
      <w:pPr>
        <w:pStyle w:val="ListParagraph"/>
        <w:numPr>
          <w:ilvl w:val="2"/>
          <w:numId w:val="11"/>
        </w:numPr>
        <w:spacing w:before="120" w:after="120"/>
      </w:pPr>
      <w:r w:rsidRPr="00E33B17">
        <w:t>Denominator:</w:t>
      </w:r>
      <w:r w:rsidR="00053347" w:rsidRPr="00E33B17">
        <w:t xml:space="preserve"> The number of adults authorized in a FLOC with </w:t>
      </w:r>
      <w:r w:rsidR="002A5AA0" w:rsidRPr="00E33B17">
        <w:t>f</w:t>
      </w:r>
      <w:r w:rsidR="00053347" w:rsidRPr="00E33B17">
        <w:t xml:space="preserve">irst and </w:t>
      </w:r>
      <w:r w:rsidR="002A5AA0" w:rsidRPr="00E33B17">
        <w:t>l</w:t>
      </w:r>
      <w:r w:rsidR="00053347" w:rsidRPr="00E33B17">
        <w:t xml:space="preserve">ast UAs occurring at least 90 days apart, with ANSA Employment item scores at both </w:t>
      </w:r>
      <w:r w:rsidR="00C153FC" w:rsidRPr="00E33B17">
        <w:t>UAs</w:t>
      </w:r>
      <w:r w:rsidRPr="00E33B17">
        <w:t>.</w:t>
      </w:r>
    </w:p>
    <w:p w14:paraId="4F9C7B62" w14:textId="05CAB9AA" w:rsidR="0042446B" w:rsidRPr="00E33B17" w:rsidRDefault="0042446B">
      <w:pPr>
        <w:pStyle w:val="ListParagraph"/>
        <w:numPr>
          <w:ilvl w:val="2"/>
          <w:numId w:val="11"/>
        </w:numPr>
        <w:spacing w:before="120" w:after="120"/>
      </w:pPr>
      <w:r w:rsidRPr="00E33B17">
        <w:t>Exclusion(s)/Exception(s): N/A</w:t>
      </w:r>
    </w:p>
    <w:p w14:paraId="5742C2AE" w14:textId="7F066AAE" w:rsidR="0042446B" w:rsidRDefault="0042446B">
      <w:pPr>
        <w:pStyle w:val="ListParagraph"/>
        <w:numPr>
          <w:ilvl w:val="2"/>
          <w:numId w:val="11"/>
        </w:numPr>
        <w:spacing w:before="120" w:after="120"/>
      </w:pPr>
      <w:r w:rsidRPr="00E33B17">
        <w:t>Data Source</w:t>
      </w:r>
      <w:r w:rsidR="0068270A">
        <w:t xml:space="preserve">: </w:t>
      </w:r>
      <w:r w:rsidRPr="00E33B17">
        <w:t>CMBHS and MBOW.</w:t>
      </w:r>
    </w:p>
    <w:p w14:paraId="734BB3A9" w14:textId="77777777" w:rsidR="00D76172" w:rsidRPr="00E33B17" w:rsidRDefault="00D76172" w:rsidP="00C72DF1">
      <w:pPr>
        <w:spacing w:before="120" w:after="120"/>
      </w:pPr>
    </w:p>
    <w:p w14:paraId="37337104" w14:textId="3437969D" w:rsidR="00AB29CF" w:rsidRPr="004A7429" w:rsidRDefault="00AB29CF">
      <w:pPr>
        <w:pStyle w:val="Heading2"/>
      </w:pPr>
      <w:bookmarkStart w:id="129" w:name="_Toc134117560"/>
      <w:r w:rsidRPr="004A7429">
        <w:t>Educational and Volunteering Strengths</w:t>
      </w:r>
      <w:bookmarkEnd w:id="129"/>
    </w:p>
    <w:p w14:paraId="4B837E32" w14:textId="77777777" w:rsidR="00AB29CF" w:rsidRPr="00E33B17" w:rsidRDefault="00AB29CF">
      <w:pPr>
        <w:pStyle w:val="ListParagraph"/>
        <w:numPr>
          <w:ilvl w:val="2"/>
          <w:numId w:val="12"/>
        </w:numPr>
        <w:spacing w:before="120" w:after="120"/>
      </w:pPr>
      <w:r w:rsidRPr="00E33B17">
        <w:t xml:space="preserve">Target: </w:t>
      </w:r>
      <w:r w:rsidR="00A67B60" w:rsidRPr="00E33B17">
        <w:t xml:space="preserve">At least 26.5% </w:t>
      </w:r>
      <w:r w:rsidR="00162FDA" w:rsidRPr="00E33B17">
        <w:t xml:space="preserve">of adults authorized in a FLOC </w:t>
      </w:r>
      <w:r w:rsidR="00C24469" w:rsidRPr="00E33B17">
        <w:t xml:space="preserve">shall have </w:t>
      </w:r>
      <w:r w:rsidR="00162FDA" w:rsidRPr="00E33B17">
        <w:t>acceptable or improved employment</w:t>
      </w:r>
      <w:r w:rsidR="009A4BCA" w:rsidRPr="00E33B17">
        <w:t>–</w:t>
      </w:r>
      <w:r w:rsidR="00162FDA" w:rsidRPr="00E33B17">
        <w:t>preparatory skills as evidenced by</w:t>
      </w:r>
      <w:r w:rsidR="00811482" w:rsidRPr="00E33B17">
        <w:t xml:space="preserve"> either the</w:t>
      </w:r>
      <w:r w:rsidR="00162FDA" w:rsidRPr="00E33B17">
        <w:t xml:space="preserve"> Educational or Volunteering Strengths</w:t>
      </w:r>
      <w:r w:rsidR="00811482" w:rsidRPr="00E33B17">
        <w:t xml:space="preserve"> item on the ANSA</w:t>
      </w:r>
      <w:r w:rsidR="00162FDA" w:rsidRPr="00E33B17">
        <w:t>.</w:t>
      </w:r>
    </w:p>
    <w:p w14:paraId="0E8D128B" w14:textId="4F479D39" w:rsidR="00462415" w:rsidRPr="00E33B17" w:rsidRDefault="00462415">
      <w:pPr>
        <w:pStyle w:val="ListParagraph"/>
        <w:numPr>
          <w:ilvl w:val="2"/>
          <w:numId w:val="12"/>
        </w:numPr>
        <w:spacing w:before="120" w:after="120"/>
      </w:pPr>
      <w:r w:rsidRPr="00E33B17">
        <w:t>Calculation: (Numerator/Denominator</w:t>
      </w:r>
      <w:r w:rsidR="00C72DF1">
        <w:t xml:space="preserve">) * </w:t>
      </w:r>
      <w:r w:rsidRPr="00E33B17">
        <w:t>100</w:t>
      </w:r>
    </w:p>
    <w:p w14:paraId="550D11D2" w14:textId="77777777" w:rsidR="00AB29CF" w:rsidRPr="00E33B17" w:rsidRDefault="00AB29CF">
      <w:pPr>
        <w:pStyle w:val="ListParagraph"/>
        <w:numPr>
          <w:ilvl w:val="2"/>
          <w:numId w:val="12"/>
        </w:numPr>
        <w:spacing w:before="120" w:after="120"/>
      </w:pPr>
      <w:r w:rsidRPr="00E33B17">
        <w:t>Numerator:</w:t>
      </w:r>
      <w:r w:rsidR="00162FDA" w:rsidRPr="00E33B17">
        <w:t xml:space="preserve"> The number who meet or exceed the RCI benchmark in the direction of improvement for either the </w:t>
      </w:r>
      <w:r w:rsidR="00162FDA" w:rsidRPr="00E33B17">
        <w:lastRenderedPageBreak/>
        <w:t xml:space="preserve">ANSA Educational or the Volunteering Strengths item, </w:t>
      </w:r>
      <w:r w:rsidR="008A6CD2" w:rsidRPr="00E33B17">
        <w:t xml:space="preserve">OR </w:t>
      </w:r>
      <w:r w:rsidR="00162FDA" w:rsidRPr="00E33B17">
        <w:t xml:space="preserve">who have ANSA item scores of 0,1 for either the Educational or the Volunteering Strengths item at both </w:t>
      </w:r>
      <w:r w:rsidR="002A5AA0" w:rsidRPr="00E33B17">
        <w:t>f</w:t>
      </w:r>
      <w:r w:rsidR="00162FDA" w:rsidRPr="00E33B17">
        <w:t xml:space="preserve">irst and </w:t>
      </w:r>
      <w:r w:rsidR="002A5AA0" w:rsidRPr="00E33B17">
        <w:t>l</w:t>
      </w:r>
      <w:r w:rsidR="00162FDA" w:rsidRPr="00E33B17">
        <w:t>ast UAs</w:t>
      </w:r>
      <w:r w:rsidR="0079277A" w:rsidRPr="00E33B17">
        <w:t>.</w:t>
      </w:r>
    </w:p>
    <w:p w14:paraId="71718F63" w14:textId="77777777" w:rsidR="00AB29CF" w:rsidRPr="00E33B17" w:rsidRDefault="00AB29CF">
      <w:pPr>
        <w:pStyle w:val="ListParagraph"/>
        <w:numPr>
          <w:ilvl w:val="2"/>
          <w:numId w:val="12"/>
        </w:numPr>
        <w:spacing w:before="120" w:after="120"/>
      </w:pPr>
      <w:r w:rsidRPr="00E33B17">
        <w:t>Denominator:</w:t>
      </w:r>
      <w:r w:rsidR="00305491" w:rsidRPr="00E33B17">
        <w:t xml:space="preserve"> The number of adults authorized in a FLOC with </w:t>
      </w:r>
      <w:r w:rsidR="0079277A" w:rsidRPr="00E33B17">
        <w:t>f</w:t>
      </w:r>
      <w:r w:rsidR="00305491" w:rsidRPr="00E33B17">
        <w:t xml:space="preserve">irst and </w:t>
      </w:r>
      <w:r w:rsidR="0079277A" w:rsidRPr="00E33B17">
        <w:t>l</w:t>
      </w:r>
      <w:r w:rsidR="00305491" w:rsidRPr="00E33B17">
        <w:t>ast UAs occurring at least 90 days apart.</w:t>
      </w:r>
    </w:p>
    <w:p w14:paraId="2C96AA99" w14:textId="096763CF" w:rsidR="00AB29CF" w:rsidRPr="00E33B17" w:rsidRDefault="00AB29CF">
      <w:pPr>
        <w:pStyle w:val="ListParagraph"/>
        <w:numPr>
          <w:ilvl w:val="2"/>
          <w:numId w:val="12"/>
        </w:numPr>
        <w:spacing w:before="120" w:after="120"/>
      </w:pPr>
      <w:r w:rsidRPr="00E33B17">
        <w:t>Exclusion(s)/Exception(s): N/A</w:t>
      </w:r>
    </w:p>
    <w:p w14:paraId="589C5B1D" w14:textId="7475684D" w:rsidR="00AB29CF" w:rsidRDefault="00AB29CF">
      <w:pPr>
        <w:pStyle w:val="ListParagraph"/>
        <w:numPr>
          <w:ilvl w:val="2"/>
          <w:numId w:val="12"/>
        </w:numPr>
        <w:spacing w:before="120" w:after="120"/>
      </w:pPr>
      <w:r w:rsidRPr="00E33B17">
        <w:t>Data Source</w:t>
      </w:r>
      <w:r w:rsidR="0068270A">
        <w:t xml:space="preserve">: </w:t>
      </w:r>
      <w:r w:rsidRPr="00E33B17">
        <w:t>CMBHS and MBOW.</w:t>
      </w:r>
    </w:p>
    <w:p w14:paraId="61B049D2" w14:textId="77777777" w:rsidR="00CD39BB" w:rsidRPr="00E33B17" w:rsidRDefault="00CD39BB" w:rsidP="00C72DF1">
      <w:pPr>
        <w:spacing w:before="120" w:after="120"/>
      </w:pPr>
    </w:p>
    <w:p w14:paraId="0160589B" w14:textId="47FEC257" w:rsidR="00F07755" w:rsidRPr="004A7429" w:rsidRDefault="00F07755">
      <w:pPr>
        <w:pStyle w:val="Heading2"/>
      </w:pPr>
      <w:bookmarkStart w:id="130" w:name="_Toc134117561"/>
      <w:r w:rsidRPr="004A7429">
        <w:t>Residential Stability</w:t>
      </w:r>
      <w:bookmarkEnd w:id="130"/>
    </w:p>
    <w:p w14:paraId="6833E974" w14:textId="77777777" w:rsidR="00F07755" w:rsidRPr="00E33B17" w:rsidRDefault="00F07755">
      <w:pPr>
        <w:pStyle w:val="ListParagraph"/>
        <w:numPr>
          <w:ilvl w:val="2"/>
          <w:numId w:val="13"/>
        </w:numPr>
        <w:spacing w:before="120" w:after="120"/>
      </w:pPr>
      <w:r w:rsidRPr="00E33B17">
        <w:t xml:space="preserve">Target: </w:t>
      </w:r>
      <w:r w:rsidR="004C5B56" w:rsidRPr="00E33B17">
        <w:t xml:space="preserve">At least 84.0% </w:t>
      </w:r>
      <w:r w:rsidR="00143C6E" w:rsidRPr="00E33B17">
        <w:t xml:space="preserve">of adults authorized in a FLOC </w:t>
      </w:r>
      <w:r w:rsidR="004C5B56" w:rsidRPr="00E33B17">
        <w:t xml:space="preserve">shall have </w:t>
      </w:r>
      <w:r w:rsidR="00143C6E" w:rsidRPr="00E33B17">
        <w:t>acceptable or improved residential stability</w:t>
      </w:r>
      <w:r w:rsidR="004C5B56" w:rsidRPr="00E33B17">
        <w:t>.</w:t>
      </w:r>
      <w:r w:rsidR="00143C6E" w:rsidRPr="00E33B17">
        <w:t xml:space="preserve"> </w:t>
      </w:r>
    </w:p>
    <w:p w14:paraId="2A8FFB5B" w14:textId="492C0B3D" w:rsidR="00F07755" w:rsidRPr="00E33B17" w:rsidRDefault="00F07755">
      <w:pPr>
        <w:pStyle w:val="ListParagraph"/>
        <w:numPr>
          <w:ilvl w:val="2"/>
          <w:numId w:val="13"/>
        </w:numPr>
        <w:spacing w:before="120" w:after="120"/>
      </w:pPr>
      <w:r w:rsidRPr="00E33B17">
        <w:t>Calculation: (Numerator/Denominator</w:t>
      </w:r>
      <w:r w:rsidR="00C72DF1">
        <w:t xml:space="preserve">) * </w:t>
      </w:r>
      <w:r w:rsidRPr="00E33B17">
        <w:t>100</w:t>
      </w:r>
    </w:p>
    <w:p w14:paraId="70AAACCB" w14:textId="77777777" w:rsidR="00F07755" w:rsidRPr="00E33B17" w:rsidRDefault="00F07755">
      <w:pPr>
        <w:pStyle w:val="ListParagraph"/>
        <w:numPr>
          <w:ilvl w:val="2"/>
          <w:numId w:val="13"/>
        </w:numPr>
        <w:spacing w:before="120" w:after="120"/>
      </w:pPr>
      <w:r w:rsidRPr="00E33B17">
        <w:t>Numerator:</w:t>
      </w:r>
      <w:r w:rsidR="00305491" w:rsidRPr="00E33B17">
        <w:t xml:space="preserve"> The number who meet or exceed the RCI </w:t>
      </w:r>
      <w:r w:rsidR="00305491" w:rsidRPr="00C72DF1">
        <w:t>bench</w:t>
      </w:r>
      <w:r w:rsidR="00305491" w:rsidRPr="00E33B17">
        <w:t xml:space="preserve">mark in the direction of improvement for </w:t>
      </w:r>
      <w:r w:rsidR="00EC1B2C" w:rsidRPr="00E33B17">
        <w:t>ANSA Residential Stability item</w:t>
      </w:r>
      <w:r w:rsidR="00305491" w:rsidRPr="00E33B17">
        <w:t xml:space="preserve">, </w:t>
      </w:r>
      <w:r w:rsidR="008A6CD2" w:rsidRPr="00E33B17">
        <w:t>OR</w:t>
      </w:r>
      <w:r w:rsidR="00305491" w:rsidRPr="00E33B17">
        <w:t xml:space="preserve"> who have ANSA item scores of 0,1 at both </w:t>
      </w:r>
      <w:r w:rsidR="0079277A" w:rsidRPr="00E33B17">
        <w:t xml:space="preserve">first and last </w:t>
      </w:r>
      <w:r w:rsidR="00305491" w:rsidRPr="00E33B17">
        <w:t xml:space="preserve">Active UAs within the fiscal year. </w:t>
      </w:r>
    </w:p>
    <w:p w14:paraId="5EB3E6AC" w14:textId="77777777" w:rsidR="00F07755" w:rsidRPr="00E33B17" w:rsidRDefault="00F07755">
      <w:pPr>
        <w:pStyle w:val="ListParagraph"/>
        <w:numPr>
          <w:ilvl w:val="2"/>
          <w:numId w:val="13"/>
        </w:numPr>
        <w:spacing w:before="120" w:after="120"/>
      </w:pPr>
      <w:r w:rsidRPr="00E33B17">
        <w:t>Denominator:</w:t>
      </w:r>
      <w:r w:rsidR="00C71B4F" w:rsidRPr="00E33B17">
        <w:t xml:space="preserve"> The number of adults authorized in a FLOC with </w:t>
      </w:r>
      <w:r w:rsidR="0079277A" w:rsidRPr="00E33B17">
        <w:t xml:space="preserve">first and last </w:t>
      </w:r>
      <w:r w:rsidR="00C71B4F" w:rsidRPr="00E33B17">
        <w:t>UAs occurring at least 90 days apart</w:t>
      </w:r>
      <w:r w:rsidRPr="00E33B17">
        <w:t>.</w:t>
      </w:r>
    </w:p>
    <w:p w14:paraId="36A5494C" w14:textId="39B7FCA0" w:rsidR="00F07755" w:rsidRPr="00E33B17" w:rsidRDefault="00F07755">
      <w:pPr>
        <w:pStyle w:val="ListParagraph"/>
        <w:numPr>
          <w:ilvl w:val="2"/>
          <w:numId w:val="13"/>
        </w:numPr>
        <w:spacing w:before="120" w:after="120"/>
      </w:pPr>
      <w:r w:rsidRPr="00E33B17">
        <w:t>Exclusion(s)/Exception(s): N/A</w:t>
      </w:r>
    </w:p>
    <w:p w14:paraId="72AB1BAE" w14:textId="65CC8DCA" w:rsidR="00F07755" w:rsidRDefault="00F07755">
      <w:pPr>
        <w:pStyle w:val="ListParagraph"/>
        <w:numPr>
          <w:ilvl w:val="2"/>
          <w:numId w:val="13"/>
        </w:numPr>
        <w:spacing w:before="120" w:after="120"/>
      </w:pPr>
      <w:r w:rsidRPr="00E33B17">
        <w:t>Data Source</w:t>
      </w:r>
      <w:r w:rsidR="0068270A">
        <w:t xml:space="preserve">: </w:t>
      </w:r>
      <w:r w:rsidRPr="00E33B17">
        <w:t>CMBHS and MBOW.</w:t>
      </w:r>
    </w:p>
    <w:p w14:paraId="7426F4EE" w14:textId="77777777" w:rsidR="00CD39BB" w:rsidRPr="00E33B17" w:rsidRDefault="00CD39BB" w:rsidP="00C72DF1">
      <w:pPr>
        <w:spacing w:before="120" w:after="120"/>
      </w:pPr>
    </w:p>
    <w:p w14:paraId="2951C44B" w14:textId="78573DEE" w:rsidR="008354E6" w:rsidRPr="004A7429" w:rsidRDefault="008354E6">
      <w:pPr>
        <w:pStyle w:val="Heading2"/>
      </w:pPr>
      <w:bookmarkStart w:id="131" w:name="_Toc134117562"/>
      <w:r w:rsidRPr="004A7429">
        <w:t>TANF Transfer to Title XX Services</w:t>
      </w:r>
      <w:bookmarkEnd w:id="131"/>
    </w:p>
    <w:p w14:paraId="40E4423E" w14:textId="7368646F" w:rsidR="008354E6" w:rsidRPr="00E33B17" w:rsidRDefault="008354E6">
      <w:pPr>
        <w:pStyle w:val="ListParagraph"/>
        <w:numPr>
          <w:ilvl w:val="2"/>
          <w:numId w:val="14"/>
        </w:numPr>
        <w:spacing w:before="120" w:after="120"/>
      </w:pPr>
      <w:r w:rsidRPr="00E33B17">
        <w:t xml:space="preserve">Target: </w:t>
      </w:r>
      <w:r w:rsidR="00B235DF">
        <w:t>Grantee</w:t>
      </w:r>
      <w:r w:rsidR="00E352C5" w:rsidRPr="00E33B17">
        <w:t xml:space="preserve"> shall meet the minimum annual service target levels for TANF Transfer to Title XX and Base Title XX services as outlined in the table below. Services are defined as those provided within the contract guidelines as outlined in Section 1.B. of the Performance Contract Notebook. Targets were developed using the dollar amount allocated for each center divided</w:t>
      </w:r>
      <w:r w:rsidR="001A7616" w:rsidRPr="00E33B17">
        <w:t xml:space="preserve"> by</w:t>
      </w:r>
      <w:r w:rsidR="00E352C5" w:rsidRPr="00E33B17">
        <w:t xml:space="preserve"> the estimated cost per person ($</w:t>
      </w:r>
      <w:r w:rsidR="001A7616" w:rsidRPr="00E33B17">
        <w:t>14,369</w:t>
      </w:r>
      <w:r w:rsidR="00E352C5" w:rsidRPr="00E33B17">
        <w:t>) for intensive services.</w:t>
      </w:r>
    </w:p>
    <w:p w14:paraId="0FCE2BEE" w14:textId="06E1DF4D" w:rsidR="008354E6" w:rsidRPr="00E33B17" w:rsidRDefault="00E352C5">
      <w:pPr>
        <w:pStyle w:val="ListParagraph"/>
        <w:numPr>
          <w:ilvl w:val="2"/>
          <w:numId w:val="14"/>
        </w:numPr>
        <w:spacing w:before="120" w:after="120"/>
      </w:pPr>
      <w:r w:rsidRPr="00E33B17">
        <w:t>Calculation</w:t>
      </w:r>
      <w:r w:rsidR="0068270A">
        <w:t xml:space="preserve">: </w:t>
      </w:r>
      <w:r w:rsidRPr="00E33B17">
        <w:t>Unique count of clients served with TANF Transfer to Title XX and Base Title XX funds.</w:t>
      </w:r>
    </w:p>
    <w:p w14:paraId="7377F00C" w14:textId="224052E2" w:rsidR="008354E6" w:rsidRPr="00E33B17" w:rsidRDefault="008354E6">
      <w:pPr>
        <w:pStyle w:val="ListParagraph"/>
        <w:numPr>
          <w:ilvl w:val="2"/>
          <w:numId w:val="14"/>
        </w:numPr>
        <w:spacing w:before="120" w:after="120"/>
      </w:pPr>
      <w:r w:rsidRPr="00E33B17">
        <w:t>Exclusion(s)/Exception(s)</w:t>
      </w:r>
      <w:r w:rsidR="0068270A">
        <w:t xml:space="preserve">: </w:t>
      </w:r>
      <w:r w:rsidRPr="00E33B17">
        <w:t>N/A</w:t>
      </w:r>
    </w:p>
    <w:p w14:paraId="524591E1" w14:textId="55A01E32" w:rsidR="00560B3E" w:rsidRDefault="008354E6">
      <w:pPr>
        <w:pStyle w:val="ListParagraph"/>
        <w:numPr>
          <w:ilvl w:val="2"/>
          <w:numId w:val="14"/>
        </w:numPr>
        <w:spacing w:before="120" w:after="120"/>
      </w:pPr>
      <w:r w:rsidRPr="00E33B17">
        <w:t>Data Source</w:t>
      </w:r>
      <w:r w:rsidR="0068270A">
        <w:t xml:space="preserve">: </w:t>
      </w:r>
      <w:r w:rsidR="00E352C5" w:rsidRPr="00E33B17">
        <w:t>Form L—Total unduplicated count of persons served annually across both funding streams</w:t>
      </w:r>
      <w:r w:rsidRPr="00E33B17">
        <w:t>.</w:t>
      </w:r>
    </w:p>
    <w:p w14:paraId="089001D2" w14:textId="77777777" w:rsidR="00560B3E" w:rsidRDefault="00560B3E">
      <w:r>
        <w:br w:type="page"/>
      </w:r>
    </w:p>
    <w:p w14:paraId="64883044" w14:textId="7AB33D40" w:rsidR="008354E6" w:rsidRPr="00E33B17" w:rsidRDefault="008354E6" w:rsidP="00BE3E90">
      <w:pPr>
        <w:spacing w:before="120" w:after="120"/>
      </w:pPr>
    </w:p>
    <w:tbl>
      <w:tblPr>
        <w:tblW w:w="6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8"/>
        <w:gridCol w:w="2146"/>
      </w:tblGrid>
      <w:tr w:rsidR="00FF71DB" w:rsidRPr="00E33B17" w14:paraId="1E350BB1" w14:textId="77777777" w:rsidTr="00C72DF1">
        <w:trPr>
          <w:cantSplit/>
          <w:trHeight w:val="692"/>
          <w:jc w:val="center"/>
        </w:trPr>
        <w:tc>
          <w:tcPr>
            <w:tcW w:w="4198" w:type="dxa"/>
            <w:shd w:val="clear" w:color="auto" w:fill="auto"/>
            <w:noWrap/>
            <w:vAlign w:val="center"/>
          </w:tcPr>
          <w:p w14:paraId="57B08927" w14:textId="77777777" w:rsidR="00FF71DB" w:rsidRPr="00CD39BB" w:rsidRDefault="00FF71DB" w:rsidP="00C72DF1">
            <w:pPr>
              <w:rPr>
                <w:b/>
                <w:bCs/>
              </w:rPr>
            </w:pPr>
            <w:r w:rsidRPr="00CD39BB">
              <w:rPr>
                <w:b/>
                <w:bCs/>
              </w:rPr>
              <w:t>Center</w:t>
            </w:r>
          </w:p>
        </w:tc>
        <w:tc>
          <w:tcPr>
            <w:tcW w:w="2146" w:type="dxa"/>
            <w:shd w:val="clear" w:color="auto" w:fill="auto"/>
            <w:vAlign w:val="center"/>
          </w:tcPr>
          <w:p w14:paraId="2A8A7EF3" w14:textId="77777777" w:rsidR="00FF71DB" w:rsidRPr="00CD39BB" w:rsidRDefault="00FF71DB" w:rsidP="00C72DF1">
            <w:pPr>
              <w:jc w:val="center"/>
              <w:rPr>
                <w:b/>
                <w:bCs/>
              </w:rPr>
            </w:pPr>
            <w:r w:rsidRPr="00CD39BB">
              <w:rPr>
                <w:b/>
                <w:bCs/>
              </w:rPr>
              <w:t>Fiscal Year Target</w:t>
            </w:r>
          </w:p>
        </w:tc>
      </w:tr>
      <w:tr w:rsidR="006B20FC" w:rsidRPr="00E33B17" w14:paraId="611A7298" w14:textId="77777777" w:rsidTr="00C72DF1">
        <w:trPr>
          <w:cantSplit/>
          <w:trHeight w:hRule="exact" w:val="317"/>
          <w:jc w:val="center"/>
        </w:trPr>
        <w:tc>
          <w:tcPr>
            <w:tcW w:w="4198" w:type="dxa"/>
            <w:shd w:val="clear" w:color="auto" w:fill="auto"/>
            <w:vAlign w:val="bottom"/>
          </w:tcPr>
          <w:p w14:paraId="740E4FDA" w14:textId="77777777" w:rsidR="006B20FC" w:rsidRPr="00E33B17" w:rsidRDefault="006B20FC" w:rsidP="00C72DF1">
            <w:r w:rsidRPr="00E33B17">
              <w:t xml:space="preserve">010 </w:t>
            </w:r>
            <w:r w:rsidR="006633CA" w:rsidRPr="00E33B17">
              <w:t>–</w:t>
            </w:r>
            <w:r w:rsidRPr="00E33B17">
              <w:t xml:space="preserve"> BETTY HARDWICK</w:t>
            </w:r>
          </w:p>
        </w:tc>
        <w:tc>
          <w:tcPr>
            <w:tcW w:w="2146" w:type="dxa"/>
            <w:shd w:val="clear" w:color="auto" w:fill="auto"/>
            <w:noWrap/>
          </w:tcPr>
          <w:p w14:paraId="641A5421" w14:textId="77777777" w:rsidR="006B20FC" w:rsidRPr="00E33B17" w:rsidRDefault="006B20FC" w:rsidP="00C72DF1">
            <w:pPr>
              <w:jc w:val="center"/>
            </w:pPr>
            <w:r w:rsidRPr="00E33B17">
              <w:t>3</w:t>
            </w:r>
          </w:p>
        </w:tc>
      </w:tr>
      <w:tr w:rsidR="006B20FC" w:rsidRPr="00E33B17" w14:paraId="001BC8D4" w14:textId="77777777" w:rsidTr="00C72DF1">
        <w:trPr>
          <w:cantSplit/>
          <w:trHeight w:hRule="exact" w:val="317"/>
          <w:jc w:val="center"/>
        </w:trPr>
        <w:tc>
          <w:tcPr>
            <w:tcW w:w="4198" w:type="dxa"/>
            <w:shd w:val="clear" w:color="auto" w:fill="auto"/>
            <w:vAlign w:val="bottom"/>
          </w:tcPr>
          <w:p w14:paraId="4EAB0DAE" w14:textId="77777777" w:rsidR="006B20FC" w:rsidRPr="00E33B17" w:rsidRDefault="006B20FC" w:rsidP="00C72DF1">
            <w:r w:rsidRPr="00E33B17">
              <w:t xml:space="preserve">020 </w:t>
            </w:r>
            <w:r w:rsidR="006633CA" w:rsidRPr="00E33B17">
              <w:t>–</w:t>
            </w:r>
            <w:r w:rsidRPr="00E33B17">
              <w:t xml:space="preserve"> PANHANDLE</w:t>
            </w:r>
          </w:p>
        </w:tc>
        <w:tc>
          <w:tcPr>
            <w:tcW w:w="2146" w:type="dxa"/>
            <w:shd w:val="clear" w:color="auto" w:fill="auto"/>
            <w:noWrap/>
          </w:tcPr>
          <w:p w14:paraId="1338AB99" w14:textId="77777777" w:rsidR="006B20FC" w:rsidRPr="00E33B17" w:rsidRDefault="006B20FC" w:rsidP="00C72DF1">
            <w:pPr>
              <w:jc w:val="center"/>
            </w:pPr>
            <w:r w:rsidRPr="00E33B17">
              <w:t>6</w:t>
            </w:r>
          </w:p>
        </w:tc>
      </w:tr>
      <w:tr w:rsidR="006B20FC" w:rsidRPr="00E33B17" w14:paraId="07016A02" w14:textId="77777777" w:rsidTr="00C72DF1">
        <w:trPr>
          <w:cantSplit/>
          <w:trHeight w:hRule="exact" w:val="317"/>
          <w:jc w:val="center"/>
        </w:trPr>
        <w:tc>
          <w:tcPr>
            <w:tcW w:w="4198" w:type="dxa"/>
            <w:shd w:val="clear" w:color="auto" w:fill="auto"/>
            <w:vAlign w:val="bottom"/>
          </w:tcPr>
          <w:p w14:paraId="44F421FD" w14:textId="77777777" w:rsidR="006B20FC" w:rsidRPr="00E33B17" w:rsidRDefault="006633CA" w:rsidP="00C72DF1">
            <w:r w:rsidRPr="00E33B17">
              <w:t>030 –</w:t>
            </w:r>
            <w:r w:rsidR="006B20FC" w:rsidRPr="00E33B17">
              <w:t xml:space="preserve"> ATCMHMR</w:t>
            </w:r>
          </w:p>
        </w:tc>
        <w:tc>
          <w:tcPr>
            <w:tcW w:w="2146" w:type="dxa"/>
            <w:shd w:val="clear" w:color="auto" w:fill="auto"/>
            <w:noWrap/>
          </w:tcPr>
          <w:p w14:paraId="64C8D0DC" w14:textId="77777777" w:rsidR="006B20FC" w:rsidRPr="00E33B17" w:rsidRDefault="006B20FC" w:rsidP="00C72DF1">
            <w:pPr>
              <w:jc w:val="center"/>
            </w:pPr>
            <w:r w:rsidRPr="00E33B17">
              <w:t>10</w:t>
            </w:r>
          </w:p>
        </w:tc>
      </w:tr>
      <w:tr w:rsidR="006B20FC" w:rsidRPr="00E33B17" w14:paraId="3017F2B7" w14:textId="77777777" w:rsidTr="00C72DF1">
        <w:trPr>
          <w:cantSplit/>
          <w:trHeight w:hRule="exact" w:val="317"/>
          <w:jc w:val="center"/>
        </w:trPr>
        <w:tc>
          <w:tcPr>
            <w:tcW w:w="4198" w:type="dxa"/>
            <w:shd w:val="clear" w:color="auto" w:fill="auto"/>
            <w:vAlign w:val="bottom"/>
          </w:tcPr>
          <w:p w14:paraId="5C4C7949" w14:textId="77777777" w:rsidR="006B20FC" w:rsidRPr="00E33B17" w:rsidRDefault="006B20FC" w:rsidP="00C72DF1">
            <w:r w:rsidRPr="00E33B17">
              <w:t xml:space="preserve">040 </w:t>
            </w:r>
            <w:r w:rsidR="006633CA" w:rsidRPr="00E33B17">
              <w:t>–</w:t>
            </w:r>
            <w:r w:rsidRPr="00E33B17">
              <w:t xml:space="preserve"> CENTRAL COUNTIES</w:t>
            </w:r>
          </w:p>
        </w:tc>
        <w:tc>
          <w:tcPr>
            <w:tcW w:w="2146" w:type="dxa"/>
            <w:shd w:val="clear" w:color="auto" w:fill="auto"/>
            <w:noWrap/>
          </w:tcPr>
          <w:p w14:paraId="7CD5C5F3" w14:textId="77777777" w:rsidR="006B20FC" w:rsidRPr="00E33B17" w:rsidRDefault="006B20FC" w:rsidP="00C72DF1">
            <w:pPr>
              <w:jc w:val="center"/>
            </w:pPr>
            <w:r w:rsidRPr="00E33B17">
              <w:t>5</w:t>
            </w:r>
          </w:p>
        </w:tc>
      </w:tr>
      <w:tr w:rsidR="006B20FC" w:rsidRPr="00E33B17" w14:paraId="682A690F" w14:textId="77777777" w:rsidTr="00C72DF1">
        <w:trPr>
          <w:cantSplit/>
          <w:trHeight w:hRule="exact" w:val="317"/>
          <w:jc w:val="center"/>
        </w:trPr>
        <w:tc>
          <w:tcPr>
            <w:tcW w:w="4198" w:type="dxa"/>
            <w:shd w:val="clear" w:color="auto" w:fill="auto"/>
            <w:vAlign w:val="bottom"/>
          </w:tcPr>
          <w:p w14:paraId="21C71EA3" w14:textId="77777777" w:rsidR="006B20FC" w:rsidRPr="00E33B17" w:rsidRDefault="006633CA" w:rsidP="00C72DF1">
            <w:r w:rsidRPr="00E33B17">
              <w:t>050 –</w:t>
            </w:r>
            <w:r w:rsidR="006B20FC" w:rsidRPr="00E33B17">
              <w:t xml:space="preserve"> CHCS</w:t>
            </w:r>
          </w:p>
        </w:tc>
        <w:tc>
          <w:tcPr>
            <w:tcW w:w="2146" w:type="dxa"/>
            <w:shd w:val="clear" w:color="auto" w:fill="auto"/>
            <w:noWrap/>
          </w:tcPr>
          <w:p w14:paraId="6EEF29FB" w14:textId="77777777" w:rsidR="006B20FC" w:rsidRPr="00E33B17" w:rsidRDefault="006B20FC" w:rsidP="00C72DF1">
            <w:pPr>
              <w:jc w:val="center"/>
            </w:pPr>
            <w:r w:rsidRPr="00E33B17">
              <w:t>20</w:t>
            </w:r>
          </w:p>
        </w:tc>
      </w:tr>
      <w:tr w:rsidR="006B20FC" w:rsidRPr="00E33B17" w14:paraId="43FCA4E4" w14:textId="77777777" w:rsidTr="00C72DF1">
        <w:trPr>
          <w:cantSplit/>
          <w:trHeight w:hRule="exact" w:val="317"/>
          <w:jc w:val="center"/>
        </w:trPr>
        <w:tc>
          <w:tcPr>
            <w:tcW w:w="4198" w:type="dxa"/>
            <w:shd w:val="clear" w:color="auto" w:fill="auto"/>
            <w:vAlign w:val="bottom"/>
          </w:tcPr>
          <w:p w14:paraId="3E0D4D6D" w14:textId="77777777" w:rsidR="006B20FC" w:rsidRPr="00E33B17" w:rsidRDefault="006B20FC" w:rsidP="00C72DF1">
            <w:r w:rsidRPr="00E33B17">
              <w:t>06</w:t>
            </w:r>
            <w:r w:rsidR="006633CA" w:rsidRPr="00E33B17">
              <w:t>0 –</w:t>
            </w:r>
            <w:r w:rsidRPr="00E33B17">
              <w:t xml:space="preserve"> CLR</w:t>
            </w:r>
          </w:p>
        </w:tc>
        <w:tc>
          <w:tcPr>
            <w:tcW w:w="2146" w:type="dxa"/>
            <w:shd w:val="clear" w:color="auto" w:fill="auto"/>
            <w:noWrap/>
          </w:tcPr>
          <w:p w14:paraId="1F60146F" w14:textId="77777777" w:rsidR="006B20FC" w:rsidRPr="00E33B17" w:rsidRDefault="006B20FC" w:rsidP="00C72DF1">
            <w:pPr>
              <w:jc w:val="center"/>
            </w:pPr>
            <w:r w:rsidRPr="00E33B17">
              <w:t>2</w:t>
            </w:r>
          </w:p>
        </w:tc>
      </w:tr>
      <w:tr w:rsidR="006B20FC" w:rsidRPr="00E33B17" w14:paraId="4A59C29D" w14:textId="77777777" w:rsidTr="00C72DF1">
        <w:trPr>
          <w:cantSplit/>
          <w:trHeight w:hRule="exact" w:val="317"/>
          <w:jc w:val="center"/>
        </w:trPr>
        <w:tc>
          <w:tcPr>
            <w:tcW w:w="4198" w:type="dxa"/>
            <w:shd w:val="clear" w:color="auto" w:fill="auto"/>
            <w:vAlign w:val="bottom"/>
          </w:tcPr>
          <w:p w14:paraId="4E4E8C01" w14:textId="77777777" w:rsidR="006B20FC" w:rsidRPr="00E33B17" w:rsidRDefault="006B20FC" w:rsidP="00C72DF1">
            <w:r w:rsidRPr="00E33B17">
              <w:t xml:space="preserve">070 </w:t>
            </w:r>
            <w:r w:rsidR="006633CA" w:rsidRPr="00E33B17">
              <w:t>–</w:t>
            </w:r>
            <w:r w:rsidRPr="00E33B17">
              <w:t xml:space="preserve"> CENTRAL PLAINS</w:t>
            </w:r>
          </w:p>
        </w:tc>
        <w:tc>
          <w:tcPr>
            <w:tcW w:w="2146" w:type="dxa"/>
            <w:shd w:val="clear" w:color="auto" w:fill="auto"/>
            <w:noWrap/>
          </w:tcPr>
          <w:p w14:paraId="365DDFA6" w14:textId="77777777" w:rsidR="006B20FC" w:rsidRPr="00E33B17" w:rsidRDefault="006B20FC" w:rsidP="00C72DF1">
            <w:pPr>
              <w:jc w:val="center"/>
            </w:pPr>
            <w:r w:rsidRPr="00E33B17">
              <w:t>2</w:t>
            </w:r>
          </w:p>
        </w:tc>
      </w:tr>
      <w:tr w:rsidR="006B20FC" w:rsidRPr="00E33B17" w14:paraId="77F4B446" w14:textId="77777777" w:rsidTr="00C72DF1">
        <w:trPr>
          <w:cantSplit/>
          <w:trHeight w:hRule="exact" w:val="317"/>
          <w:jc w:val="center"/>
        </w:trPr>
        <w:tc>
          <w:tcPr>
            <w:tcW w:w="4198" w:type="dxa"/>
            <w:shd w:val="clear" w:color="auto" w:fill="auto"/>
            <w:vAlign w:val="bottom"/>
          </w:tcPr>
          <w:p w14:paraId="708BDCAB" w14:textId="77777777" w:rsidR="006B20FC" w:rsidRPr="00E33B17" w:rsidRDefault="006B20FC" w:rsidP="00C72DF1">
            <w:r w:rsidRPr="00E33B17">
              <w:t>086 – NTBHA</w:t>
            </w:r>
          </w:p>
        </w:tc>
        <w:tc>
          <w:tcPr>
            <w:tcW w:w="2146" w:type="dxa"/>
            <w:shd w:val="clear" w:color="auto" w:fill="auto"/>
            <w:noWrap/>
          </w:tcPr>
          <w:p w14:paraId="409D91F1" w14:textId="77777777" w:rsidR="006B20FC" w:rsidRPr="00E33B17" w:rsidRDefault="006B20FC" w:rsidP="00C72DF1">
            <w:pPr>
              <w:jc w:val="center"/>
            </w:pPr>
            <w:r w:rsidRPr="00E33B17">
              <w:t>194</w:t>
            </w:r>
          </w:p>
        </w:tc>
      </w:tr>
      <w:tr w:rsidR="006B20FC" w:rsidRPr="00E33B17" w14:paraId="3806BC49" w14:textId="77777777" w:rsidTr="00C72DF1">
        <w:trPr>
          <w:cantSplit/>
          <w:trHeight w:hRule="exact" w:val="317"/>
          <w:jc w:val="center"/>
        </w:trPr>
        <w:tc>
          <w:tcPr>
            <w:tcW w:w="4198" w:type="dxa"/>
            <w:shd w:val="clear" w:color="auto" w:fill="auto"/>
            <w:vAlign w:val="bottom"/>
          </w:tcPr>
          <w:p w14:paraId="01B4C696" w14:textId="77777777" w:rsidR="006B20FC" w:rsidRPr="00E33B17" w:rsidRDefault="006B20FC" w:rsidP="00C72DF1">
            <w:r w:rsidRPr="00E33B17">
              <w:t xml:space="preserve">090 </w:t>
            </w:r>
            <w:r w:rsidR="006633CA" w:rsidRPr="00E33B17">
              <w:t>–</w:t>
            </w:r>
            <w:r w:rsidRPr="00E33B17">
              <w:t xml:space="preserve"> EL PASO</w:t>
            </w:r>
          </w:p>
        </w:tc>
        <w:tc>
          <w:tcPr>
            <w:tcW w:w="2146" w:type="dxa"/>
            <w:shd w:val="clear" w:color="auto" w:fill="auto"/>
            <w:noWrap/>
          </w:tcPr>
          <w:p w14:paraId="0F33245D" w14:textId="77777777" w:rsidR="006B20FC" w:rsidRPr="00E33B17" w:rsidRDefault="006B20FC" w:rsidP="00C72DF1">
            <w:pPr>
              <w:jc w:val="center"/>
            </w:pPr>
            <w:r w:rsidRPr="00E33B17">
              <w:t>14</w:t>
            </w:r>
          </w:p>
        </w:tc>
      </w:tr>
      <w:tr w:rsidR="006B20FC" w:rsidRPr="00E33B17" w14:paraId="791E2200" w14:textId="77777777" w:rsidTr="00C72DF1">
        <w:trPr>
          <w:cantSplit/>
          <w:trHeight w:hRule="exact" w:val="317"/>
          <w:jc w:val="center"/>
        </w:trPr>
        <w:tc>
          <w:tcPr>
            <w:tcW w:w="4198" w:type="dxa"/>
            <w:shd w:val="clear" w:color="auto" w:fill="auto"/>
            <w:vAlign w:val="bottom"/>
          </w:tcPr>
          <w:p w14:paraId="75720559" w14:textId="77777777" w:rsidR="006B20FC" w:rsidRPr="00E33B17" w:rsidRDefault="006B20FC" w:rsidP="00C72DF1">
            <w:r w:rsidRPr="00E33B17">
              <w:t xml:space="preserve">100 </w:t>
            </w:r>
            <w:r w:rsidR="006633CA" w:rsidRPr="00E33B17">
              <w:t>–</w:t>
            </w:r>
            <w:r w:rsidRPr="00E33B17">
              <w:t xml:space="preserve"> GULF COAST</w:t>
            </w:r>
          </w:p>
        </w:tc>
        <w:tc>
          <w:tcPr>
            <w:tcW w:w="2146" w:type="dxa"/>
            <w:shd w:val="clear" w:color="auto" w:fill="auto"/>
            <w:noWrap/>
          </w:tcPr>
          <w:p w14:paraId="32441674" w14:textId="77777777" w:rsidR="006B20FC" w:rsidRPr="00E33B17" w:rsidRDefault="006B20FC" w:rsidP="00C72DF1">
            <w:pPr>
              <w:jc w:val="center"/>
            </w:pPr>
            <w:r w:rsidRPr="00E33B17">
              <w:t>7</w:t>
            </w:r>
          </w:p>
        </w:tc>
      </w:tr>
      <w:tr w:rsidR="006B20FC" w:rsidRPr="00E33B17" w14:paraId="3F92F45C" w14:textId="77777777" w:rsidTr="00C72DF1">
        <w:trPr>
          <w:cantSplit/>
          <w:trHeight w:hRule="exact" w:val="317"/>
          <w:jc w:val="center"/>
        </w:trPr>
        <w:tc>
          <w:tcPr>
            <w:tcW w:w="4198" w:type="dxa"/>
            <w:shd w:val="clear" w:color="auto" w:fill="auto"/>
            <w:vAlign w:val="bottom"/>
          </w:tcPr>
          <w:p w14:paraId="140B4D3E" w14:textId="77777777" w:rsidR="006B20FC" w:rsidRPr="00E33B17" w:rsidRDefault="006B20FC" w:rsidP="00C72DF1">
            <w:r w:rsidRPr="00E33B17">
              <w:t xml:space="preserve">110 </w:t>
            </w:r>
            <w:r w:rsidR="006633CA" w:rsidRPr="00E33B17">
              <w:t>–</w:t>
            </w:r>
            <w:r w:rsidRPr="00E33B17">
              <w:t xml:space="preserve"> GULF BEND</w:t>
            </w:r>
          </w:p>
        </w:tc>
        <w:tc>
          <w:tcPr>
            <w:tcW w:w="2146" w:type="dxa"/>
            <w:shd w:val="clear" w:color="auto" w:fill="auto"/>
            <w:noWrap/>
          </w:tcPr>
          <w:p w14:paraId="109F0517" w14:textId="77777777" w:rsidR="006B20FC" w:rsidRPr="00E33B17" w:rsidRDefault="006B20FC" w:rsidP="00C72DF1">
            <w:pPr>
              <w:jc w:val="center"/>
            </w:pPr>
            <w:r w:rsidRPr="00E33B17">
              <w:t>3</w:t>
            </w:r>
          </w:p>
        </w:tc>
      </w:tr>
      <w:tr w:rsidR="006B20FC" w:rsidRPr="00E33B17" w14:paraId="659B1F11" w14:textId="77777777" w:rsidTr="00C72DF1">
        <w:trPr>
          <w:cantSplit/>
          <w:trHeight w:hRule="exact" w:val="317"/>
          <w:jc w:val="center"/>
        </w:trPr>
        <w:tc>
          <w:tcPr>
            <w:tcW w:w="4198" w:type="dxa"/>
            <w:shd w:val="clear" w:color="auto" w:fill="auto"/>
            <w:vAlign w:val="bottom"/>
          </w:tcPr>
          <w:p w14:paraId="03B53F53" w14:textId="77777777" w:rsidR="006B20FC" w:rsidRPr="00E33B17" w:rsidRDefault="006B20FC" w:rsidP="00C72DF1">
            <w:r w:rsidRPr="00E33B17">
              <w:t xml:space="preserve">130 </w:t>
            </w:r>
            <w:r w:rsidR="006633CA" w:rsidRPr="00E33B17">
              <w:t>–</w:t>
            </w:r>
            <w:r w:rsidRPr="00E33B17">
              <w:t xml:space="preserve"> TROPICAL </w:t>
            </w:r>
          </w:p>
        </w:tc>
        <w:tc>
          <w:tcPr>
            <w:tcW w:w="2146" w:type="dxa"/>
            <w:shd w:val="clear" w:color="auto" w:fill="auto"/>
            <w:noWrap/>
          </w:tcPr>
          <w:p w14:paraId="5B4AF4B8" w14:textId="77777777" w:rsidR="006B20FC" w:rsidRPr="00E33B17" w:rsidRDefault="006B20FC" w:rsidP="00C72DF1">
            <w:pPr>
              <w:jc w:val="center"/>
            </w:pPr>
            <w:r w:rsidRPr="00E33B17">
              <w:t>12</w:t>
            </w:r>
          </w:p>
        </w:tc>
      </w:tr>
      <w:tr w:rsidR="006B20FC" w:rsidRPr="00E33B17" w14:paraId="64B66DF3" w14:textId="77777777" w:rsidTr="00C72DF1">
        <w:trPr>
          <w:cantSplit/>
          <w:trHeight w:hRule="exact" w:val="317"/>
          <w:jc w:val="center"/>
        </w:trPr>
        <w:tc>
          <w:tcPr>
            <w:tcW w:w="4198" w:type="dxa"/>
            <w:shd w:val="clear" w:color="auto" w:fill="auto"/>
            <w:vAlign w:val="bottom"/>
          </w:tcPr>
          <w:p w14:paraId="0B03C26B" w14:textId="77777777" w:rsidR="006B20FC" w:rsidRPr="00E33B17" w:rsidRDefault="006B20FC" w:rsidP="00C72DF1">
            <w:r w:rsidRPr="00E33B17">
              <w:t xml:space="preserve">140 </w:t>
            </w:r>
            <w:r w:rsidR="006633CA" w:rsidRPr="00E33B17">
              <w:t>–</w:t>
            </w:r>
            <w:r w:rsidRPr="00E33B17">
              <w:t xml:space="preserve"> SPINDLETOP</w:t>
            </w:r>
          </w:p>
        </w:tc>
        <w:tc>
          <w:tcPr>
            <w:tcW w:w="2146" w:type="dxa"/>
            <w:shd w:val="clear" w:color="auto" w:fill="auto"/>
            <w:noWrap/>
          </w:tcPr>
          <w:p w14:paraId="2A464449" w14:textId="77777777" w:rsidR="006B20FC" w:rsidRPr="00E33B17" w:rsidRDefault="006B20FC" w:rsidP="00C72DF1">
            <w:pPr>
              <w:jc w:val="center"/>
            </w:pPr>
            <w:r w:rsidRPr="00E33B17">
              <w:t>7</w:t>
            </w:r>
          </w:p>
        </w:tc>
      </w:tr>
      <w:tr w:rsidR="006B20FC" w:rsidRPr="00E33B17" w14:paraId="0400F6FF" w14:textId="77777777" w:rsidTr="00C72DF1">
        <w:trPr>
          <w:cantSplit/>
          <w:trHeight w:hRule="exact" w:val="317"/>
          <w:jc w:val="center"/>
        </w:trPr>
        <w:tc>
          <w:tcPr>
            <w:tcW w:w="4198" w:type="dxa"/>
            <w:shd w:val="clear" w:color="auto" w:fill="auto"/>
            <w:vAlign w:val="bottom"/>
          </w:tcPr>
          <w:p w14:paraId="45A4DD6B" w14:textId="77777777" w:rsidR="006B20FC" w:rsidRPr="00E33B17" w:rsidRDefault="006633CA" w:rsidP="00C72DF1">
            <w:r w:rsidRPr="00E33B17">
              <w:t>150 –</w:t>
            </w:r>
            <w:r w:rsidR="006B20FC" w:rsidRPr="00E33B17">
              <w:t xml:space="preserve"> LUBBOCK</w:t>
            </w:r>
          </w:p>
        </w:tc>
        <w:tc>
          <w:tcPr>
            <w:tcW w:w="2146" w:type="dxa"/>
            <w:shd w:val="clear" w:color="auto" w:fill="auto"/>
            <w:noWrap/>
          </w:tcPr>
          <w:p w14:paraId="60CF190D" w14:textId="77777777" w:rsidR="006B20FC" w:rsidRPr="00E33B17" w:rsidRDefault="006B20FC" w:rsidP="00C72DF1">
            <w:pPr>
              <w:jc w:val="center"/>
            </w:pPr>
            <w:r w:rsidRPr="00E33B17">
              <w:t>6</w:t>
            </w:r>
          </w:p>
        </w:tc>
      </w:tr>
      <w:tr w:rsidR="006B20FC" w:rsidRPr="00E33B17" w14:paraId="735BBD67" w14:textId="77777777" w:rsidTr="00C72DF1">
        <w:trPr>
          <w:cantSplit/>
          <w:trHeight w:hRule="exact" w:val="317"/>
          <w:jc w:val="center"/>
        </w:trPr>
        <w:tc>
          <w:tcPr>
            <w:tcW w:w="4198" w:type="dxa"/>
            <w:shd w:val="clear" w:color="auto" w:fill="auto"/>
            <w:vAlign w:val="bottom"/>
          </w:tcPr>
          <w:p w14:paraId="34103E00" w14:textId="77777777" w:rsidR="006B20FC" w:rsidRPr="00E33B17" w:rsidRDefault="006633CA" w:rsidP="00C72DF1">
            <w:r w:rsidRPr="00E33B17">
              <w:t>160 –</w:t>
            </w:r>
            <w:r w:rsidR="006B20FC" w:rsidRPr="00E33B17">
              <w:t xml:space="preserve"> CONCHO</w:t>
            </w:r>
          </w:p>
        </w:tc>
        <w:tc>
          <w:tcPr>
            <w:tcW w:w="2146" w:type="dxa"/>
            <w:shd w:val="clear" w:color="auto" w:fill="auto"/>
            <w:noWrap/>
          </w:tcPr>
          <w:p w14:paraId="6E2743AA" w14:textId="77777777" w:rsidR="006B20FC" w:rsidRPr="00E33B17" w:rsidRDefault="006B20FC" w:rsidP="00C72DF1">
            <w:pPr>
              <w:jc w:val="center"/>
            </w:pPr>
            <w:r w:rsidRPr="00E33B17">
              <w:t>2</w:t>
            </w:r>
          </w:p>
        </w:tc>
      </w:tr>
      <w:tr w:rsidR="006B20FC" w:rsidRPr="00E33B17" w14:paraId="14BC6F23" w14:textId="77777777" w:rsidTr="00C72DF1">
        <w:trPr>
          <w:cantSplit/>
          <w:trHeight w:hRule="exact" w:val="317"/>
          <w:jc w:val="center"/>
        </w:trPr>
        <w:tc>
          <w:tcPr>
            <w:tcW w:w="4198" w:type="dxa"/>
            <w:shd w:val="clear" w:color="auto" w:fill="auto"/>
            <w:vAlign w:val="bottom"/>
          </w:tcPr>
          <w:p w14:paraId="217E00F2" w14:textId="77777777" w:rsidR="006B20FC" w:rsidRPr="00E33B17" w:rsidRDefault="006B20FC" w:rsidP="00C72DF1">
            <w:r w:rsidRPr="00E33B17">
              <w:t xml:space="preserve">170 </w:t>
            </w:r>
            <w:r w:rsidR="006633CA" w:rsidRPr="00E33B17">
              <w:t>–</w:t>
            </w:r>
            <w:r w:rsidRPr="00E33B17">
              <w:t xml:space="preserve"> PERMIAN BASIN</w:t>
            </w:r>
          </w:p>
        </w:tc>
        <w:tc>
          <w:tcPr>
            <w:tcW w:w="2146" w:type="dxa"/>
            <w:shd w:val="clear" w:color="auto" w:fill="auto"/>
            <w:noWrap/>
          </w:tcPr>
          <w:p w14:paraId="79F7065F" w14:textId="77777777" w:rsidR="006B20FC" w:rsidRPr="00E33B17" w:rsidRDefault="006B20FC" w:rsidP="00C72DF1">
            <w:pPr>
              <w:jc w:val="center"/>
            </w:pPr>
            <w:r w:rsidRPr="00E33B17">
              <w:t>6</w:t>
            </w:r>
          </w:p>
        </w:tc>
      </w:tr>
      <w:tr w:rsidR="006B20FC" w:rsidRPr="00E33B17" w14:paraId="193298EC" w14:textId="77777777" w:rsidTr="00C72DF1">
        <w:trPr>
          <w:cantSplit/>
          <w:trHeight w:hRule="exact" w:val="317"/>
          <w:jc w:val="center"/>
        </w:trPr>
        <w:tc>
          <w:tcPr>
            <w:tcW w:w="4198" w:type="dxa"/>
            <w:shd w:val="clear" w:color="auto" w:fill="auto"/>
            <w:vAlign w:val="bottom"/>
          </w:tcPr>
          <w:p w14:paraId="1C0058AD" w14:textId="77777777" w:rsidR="006B20FC" w:rsidRPr="00E33B17" w:rsidRDefault="006633CA" w:rsidP="00C72DF1">
            <w:r w:rsidRPr="00E33B17">
              <w:t>180 –</w:t>
            </w:r>
            <w:r w:rsidR="006B20FC" w:rsidRPr="00E33B17">
              <w:t xml:space="preserve"> NUECES</w:t>
            </w:r>
          </w:p>
        </w:tc>
        <w:tc>
          <w:tcPr>
            <w:tcW w:w="2146" w:type="dxa"/>
            <w:shd w:val="clear" w:color="auto" w:fill="auto"/>
            <w:noWrap/>
          </w:tcPr>
          <w:p w14:paraId="545698D9" w14:textId="77777777" w:rsidR="006B20FC" w:rsidRPr="00E33B17" w:rsidRDefault="006B20FC" w:rsidP="00C72DF1">
            <w:pPr>
              <w:jc w:val="center"/>
            </w:pPr>
            <w:r w:rsidRPr="00E33B17">
              <w:t>4</w:t>
            </w:r>
          </w:p>
        </w:tc>
      </w:tr>
      <w:tr w:rsidR="006B20FC" w:rsidRPr="00E33B17" w14:paraId="7C95F30A" w14:textId="77777777" w:rsidTr="00C72DF1">
        <w:trPr>
          <w:cantSplit/>
          <w:trHeight w:hRule="exact" w:val="317"/>
          <w:jc w:val="center"/>
        </w:trPr>
        <w:tc>
          <w:tcPr>
            <w:tcW w:w="4198" w:type="dxa"/>
            <w:shd w:val="clear" w:color="auto" w:fill="auto"/>
            <w:vAlign w:val="bottom"/>
          </w:tcPr>
          <w:p w14:paraId="45215247" w14:textId="77777777" w:rsidR="006B20FC" w:rsidRPr="00E33B17" w:rsidRDefault="006633CA" w:rsidP="00C72DF1">
            <w:r w:rsidRPr="00E33B17">
              <w:t>190 –</w:t>
            </w:r>
            <w:r w:rsidR="006B20FC" w:rsidRPr="00E33B17">
              <w:t xml:space="preserve"> ANDREWS</w:t>
            </w:r>
          </w:p>
        </w:tc>
        <w:tc>
          <w:tcPr>
            <w:tcW w:w="2146" w:type="dxa"/>
            <w:shd w:val="clear" w:color="auto" w:fill="auto"/>
            <w:noWrap/>
          </w:tcPr>
          <w:p w14:paraId="2A5E3EA4" w14:textId="77777777" w:rsidR="006B20FC" w:rsidRPr="00E33B17" w:rsidRDefault="006B20FC" w:rsidP="00C72DF1">
            <w:pPr>
              <w:jc w:val="center"/>
            </w:pPr>
            <w:r w:rsidRPr="00E33B17">
              <w:t>5</w:t>
            </w:r>
          </w:p>
        </w:tc>
      </w:tr>
      <w:tr w:rsidR="006B20FC" w:rsidRPr="00E33B17" w14:paraId="7FFCE38B" w14:textId="77777777" w:rsidTr="00C72DF1">
        <w:trPr>
          <w:cantSplit/>
          <w:trHeight w:hRule="exact" w:val="317"/>
          <w:jc w:val="center"/>
        </w:trPr>
        <w:tc>
          <w:tcPr>
            <w:tcW w:w="4198" w:type="dxa"/>
            <w:shd w:val="clear" w:color="auto" w:fill="auto"/>
            <w:vAlign w:val="bottom"/>
          </w:tcPr>
          <w:p w14:paraId="1F99C231" w14:textId="77777777" w:rsidR="006B20FC" w:rsidRPr="00E33B17" w:rsidRDefault="006B20FC" w:rsidP="00C72DF1">
            <w:r w:rsidRPr="00E33B17">
              <w:t xml:space="preserve">200 </w:t>
            </w:r>
            <w:r w:rsidR="006633CA" w:rsidRPr="00E33B17">
              <w:t>–</w:t>
            </w:r>
            <w:r w:rsidRPr="00E33B17">
              <w:t xml:space="preserve"> TARRANT </w:t>
            </w:r>
          </w:p>
        </w:tc>
        <w:tc>
          <w:tcPr>
            <w:tcW w:w="2146" w:type="dxa"/>
            <w:shd w:val="clear" w:color="auto" w:fill="auto"/>
            <w:noWrap/>
          </w:tcPr>
          <w:p w14:paraId="68BB9981" w14:textId="77777777" w:rsidR="006B20FC" w:rsidRPr="00E33B17" w:rsidRDefault="006B20FC" w:rsidP="00C72DF1">
            <w:pPr>
              <w:jc w:val="center"/>
            </w:pPr>
            <w:r w:rsidRPr="00E33B17">
              <w:t>23</w:t>
            </w:r>
          </w:p>
        </w:tc>
      </w:tr>
      <w:tr w:rsidR="006B20FC" w:rsidRPr="00E33B17" w14:paraId="0611B42B" w14:textId="77777777" w:rsidTr="00C72DF1">
        <w:trPr>
          <w:cantSplit/>
          <w:trHeight w:hRule="exact" w:val="317"/>
          <w:jc w:val="center"/>
        </w:trPr>
        <w:tc>
          <w:tcPr>
            <w:tcW w:w="4198" w:type="dxa"/>
            <w:shd w:val="clear" w:color="auto" w:fill="auto"/>
            <w:vAlign w:val="bottom"/>
          </w:tcPr>
          <w:p w14:paraId="23B24B1A" w14:textId="77777777" w:rsidR="006B20FC" w:rsidRPr="00E33B17" w:rsidRDefault="006633CA" w:rsidP="00C72DF1">
            <w:r w:rsidRPr="00E33B17">
              <w:t>220 –</w:t>
            </w:r>
            <w:r w:rsidR="006B20FC" w:rsidRPr="00E33B17">
              <w:t xml:space="preserve"> HOT</w:t>
            </w:r>
          </w:p>
        </w:tc>
        <w:tc>
          <w:tcPr>
            <w:tcW w:w="2146" w:type="dxa"/>
            <w:shd w:val="clear" w:color="auto" w:fill="auto"/>
            <w:noWrap/>
          </w:tcPr>
          <w:p w14:paraId="09F7E4D0" w14:textId="77777777" w:rsidR="006B20FC" w:rsidRPr="00E33B17" w:rsidRDefault="006B20FC" w:rsidP="00C72DF1">
            <w:pPr>
              <w:jc w:val="center"/>
            </w:pPr>
            <w:r w:rsidRPr="00E33B17">
              <w:t>4</w:t>
            </w:r>
          </w:p>
        </w:tc>
      </w:tr>
      <w:tr w:rsidR="006B20FC" w:rsidRPr="00E33B17" w14:paraId="031C3DD7" w14:textId="77777777" w:rsidTr="00C72DF1">
        <w:trPr>
          <w:cantSplit/>
          <w:trHeight w:hRule="exact" w:val="317"/>
          <w:jc w:val="center"/>
        </w:trPr>
        <w:tc>
          <w:tcPr>
            <w:tcW w:w="4198" w:type="dxa"/>
            <w:shd w:val="clear" w:color="auto" w:fill="auto"/>
            <w:vAlign w:val="bottom"/>
          </w:tcPr>
          <w:p w14:paraId="7039765D" w14:textId="77777777" w:rsidR="006B20FC" w:rsidRPr="00E33B17" w:rsidRDefault="006B20FC" w:rsidP="00C72DF1">
            <w:r w:rsidRPr="00E33B17">
              <w:t xml:space="preserve">230 </w:t>
            </w:r>
            <w:r w:rsidR="006633CA" w:rsidRPr="00E33B17">
              <w:t>–</w:t>
            </w:r>
            <w:r w:rsidRPr="00E33B17">
              <w:t xml:space="preserve"> HELEN FARABEE</w:t>
            </w:r>
          </w:p>
        </w:tc>
        <w:tc>
          <w:tcPr>
            <w:tcW w:w="2146" w:type="dxa"/>
            <w:shd w:val="clear" w:color="auto" w:fill="auto"/>
            <w:noWrap/>
          </w:tcPr>
          <w:p w14:paraId="677EB615" w14:textId="77777777" w:rsidR="006B20FC" w:rsidRPr="00E33B17" w:rsidRDefault="006B20FC" w:rsidP="00C72DF1">
            <w:pPr>
              <w:jc w:val="center"/>
            </w:pPr>
            <w:r w:rsidRPr="00E33B17">
              <w:t>8</w:t>
            </w:r>
          </w:p>
        </w:tc>
      </w:tr>
      <w:tr w:rsidR="006B20FC" w:rsidRPr="00E33B17" w14:paraId="576EFD8A" w14:textId="77777777" w:rsidTr="00C72DF1">
        <w:trPr>
          <w:cantSplit/>
          <w:trHeight w:hRule="exact" w:val="317"/>
          <w:jc w:val="center"/>
        </w:trPr>
        <w:tc>
          <w:tcPr>
            <w:tcW w:w="4198" w:type="dxa"/>
            <w:shd w:val="clear" w:color="auto" w:fill="auto"/>
            <w:vAlign w:val="bottom"/>
          </w:tcPr>
          <w:p w14:paraId="6D7D1E65" w14:textId="77777777" w:rsidR="006B20FC" w:rsidRPr="00E33B17" w:rsidRDefault="006B20FC" w:rsidP="00C72DF1">
            <w:r w:rsidRPr="00E33B17">
              <w:t xml:space="preserve">240 </w:t>
            </w:r>
            <w:r w:rsidR="006633CA" w:rsidRPr="00E33B17">
              <w:t>–</w:t>
            </w:r>
            <w:r w:rsidRPr="00E33B17">
              <w:t xml:space="preserve"> HEALTHCORE</w:t>
            </w:r>
          </w:p>
        </w:tc>
        <w:tc>
          <w:tcPr>
            <w:tcW w:w="2146" w:type="dxa"/>
            <w:shd w:val="clear" w:color="auto" w:fill="auto"/>
            <w:noWrap/>
          </w:tcPr>
          <w:p w14:paraId="7403F8DC" w14:textId="77777777" w:rsidR="006B20FC" w:rsidRPr="00E33B17" w:rsidRDefault="006B20FC" w:rsidP="00C72DF1">
            <w:pPr>
              <w:jc w:val="center"/>
            </w:pPr>
            <w:r w:rsidRPr="00E33B17">
              <w:t>7</w:t>
            </w:r>
          </w:p>
        </w:tc>
      </w:tr>
      <w:tr w:rsidR="006B20FC" w:rsidRPr="00E33B17" w14:paraId="56AA43D4" w14:textId="77777777" w:rsidTr="00C72DF1">
        <w:trPr>
          <w:cantSplit/>
          <w:trHeight w:hRule="exact" w:val="317"/>
          <w:jc w:val="center"/>
        </w:trPr>
        <w:tc>
          <w:tcPr>
            <w:tcW w:w="4198" w:type="dxa"/>
            <w:shd w:val="clear" w:color="auto" w:fill="auto"/>
            <w:vAlign w:val="bottom"/>
          </w:tcPr>
          <w:p w14:paraId="58018D72" w14:textId="77777777" w:rsidR="006B20FC" w:rsidRPr="00E33B17" w:rsidRDefault="006633CA" w:rsidP="00C72DF1">
            <w:r w:rsidRPr="00E33B17">
              <w:t>250 –</w:t>
            </w:r>
            <w:r w:rsidR="006B20FC" w:rsidRPr="00E33B17">
              <w:t xml:space="preserve"> BRAZOS</w:t>
            </w:r>
          </w:p>
        </w:tc>
        <w:tc>
          <w:tcPr>
            <w:tcW w:w="2146" w:type="dxa"/>
            <w:shd w:val="clear" w:color="auto" w:fill="auto"/>
            <w:noWrap/>
          </w:tcPr>
          <w:p w14:paraId="4E9C20FC" w14:textId="77777777" w:rsidR="006B20FC" w:rsidRPr="00E33B17" w:rsidRDefault="006B20FC" w:rsidP="00C72DF1">
            <w:pPr>
              <w:jc w:val="center"/>
            </w:pPr>
            <w:r w:rsidRPr="00E33B17">
              <w:t>4</w:t>
            </w:r>
          </w:p>
        </w:tc>
      </w:tr>
      <w:tr w:rsidR="006B20FC" w:rsidRPr="00E33B17" w14:paraId="5FB1B7F8" w14:textId="77777777" w:rsidTr="00C72DF1">
        <w:trPr>
          <w:cantSplit/>
          <w:trHeight w:hRule="exact" w:val="317"/>
          <w:jc w:val="center"/>
        </w:trPr>
        <w:tc>
          <w:tcPr>
            <w:tcW w:w="4198" w:type="dxa"/>
            <w:shd w:val="clear" w:color="auto" w:fill="auto"/>
            <w:vAlign w:val="bottom"/>
          </w:tcPr>
          <w:p w14:paraId="5CF90583" w14:textId="77777777" w:rsidR="006B20FC" w:rsidRPr="00E33B17" w:rsidRDefault="006633CA" w:rsidP="00C72DF1">
            <w:r w:rsidRPr="00E33B17">
              <w:t>260 –</w:t>
            </w:r>
            <w:r w:rsidR="006B20FC" w:rsidRPr="00E33B17">
              <w:t xml:space="preserve"> BURKE</w:t>
            </w:r>
          </w:p>
        </w:tc>
        <w:tc>
          <w:tcPr>
            <w:tcW w:w="2146" w:type="dxa"/>
            <w:shd w:val="clear" w:color="auto" w:fill="auto"/>
            <w:noWrap/>
          </w:tcPr>
          <w:p w14:paraId="58556933" w14:textId="77777777" w:rsidR="006B20FC" w:rsidRPr="00E33B17" w:rsidRDefault="006B20FC" w:rsidP="00C72DF1">
            <w:pPr>
              <w:jc w:val="center"/>
            </w:pPr>
            <w:r w:rsidRPr="00E33B17">
              <w:t>6</w:t>
            </w:r>
          </w:p>
        </w:tc>
      </w:tr>
      <w:tr w:rsidR="006B20FC" w:rsidRPr="00E33B17" w14:paraId="15BB0433" w14:textId="77777777" w:rsidTr="00C72DF1">
        <w:trPr>
          <w:cantSplit/>
          <w:trHeight w:hRule="exact" w:val="317"/>
          <w:jc w:val="center"/>
        </w:trPr>
        <w:tc>
          <w:tcPr>
            <w:tcW w:w="4198" w:type="dxa"/>
            <w:shd w:val="clear" w:color="auto" w:fill="auto"/>
            <w:vAlign w:val="bottom"/>
          </w:tcPr>
          <w:p w14:paraId="3FEB9B42" w14:textId="77777777" w:rsidR="006B20FC" w:rsidRPr="00E33B17" w:rsidRDefault="006633CA" w:rsidP="00C72DF1">
            <w:r w:rsidRPr="00E33B17">
              <w:t>280 –</w:t>
            </w:r>
            <w:r w:rsidR="006B20FC" w:rsidRPr="00E33B17">
              <w:t xml:space="preserve"> HARRIS</w:t>
            </w:r>
          </w:p>
        </w:tc>
        <w:tc>
          <w:tcPr>
            <w:tcW w:w="2146" w:type="dxa"/>
            <w:shd w:val="clear" w:color="auto" w:fill="auto"/>
            <w:noWrap/>
          </w:tcPr>
          <w:p w14:paraId="4CAFF79C" w14:textId="77777777" w:rsidR="006B20FC" w:rsidRPr="00E33B17" w:rsidRDefault="006B20FC" w:rsidP="00C72DF1">
            <w:pPr>
              <w:jc w:val="center"/>
            </w:pPr>
            <w:r w:rsidRPr="00E33B17">
              <w:t>37</w:t>
            </w:r>
          </w:p>
        </w:tc>
      </w:tr>
      <w:tr w:rsidR="006B20FC" w:rsidRPr="00E33B17" w14:paraId="5808C6E6" w14:textId="77777777" w:rsidTr="00C72DF1">
        <w:trPr>
          <w:cantSplit/>
          <w:trHeight w:hRule="exact" w:val="317"/>
          <w:jc w:val="center"/>
        </w:trPr>
        <w:tc>
          <w:tcPr>
            <w:tcW w:w="4198" w:type="dxa"/>
            <w:shd w:val="clear" w:color="auto" w:fill="auto"/>
            <w:vAlign w:val="bottom"/>
          </w:tcPr>
          <w:p w14:paraId="429CDAEA" w14:textId="77777777" w:rsidR="006B20FC" w:rsidRPr="00E33B17" w:rsidRDefault="006633CA" w:rsidP="00C72DF1">
            <w:r w:rsidRPr="00E33B17">
              <w:t>290 –</w:t>
            </w:r>
            <w:r w:rsidR="006B20FC" w:rsidRPr="00E33B17">
              <w:t xml:space="preserve"> TEXOMA</w:t>
            </w:r>
          </w:p>
        </w:tc>
        <w:tc>
          <w:tcPr>
            <w:tcW w:w="2146" w:type="dxa"/>
            <w:shd w:val="clear" w:color="auto" w:fill="auto"/>
            <w:noWrap/>
          </w:tcPr>
          <w:p w14:paraId="16871A4D" w14:textId="77777777" w:rsidR="006B20FC" w:rsidRPr="00E33B17" w:rsidRDefault="006B20FC" w:rsidP="00C72DF1">
            <w:pPr>
              <w:jc w:val="center"/>
            </w:pPr>
            <w:r w:rsidRPr="00E33B17">
              <w:t>3</w:t>
            </w:r>
          </w:p>
        </w:tc>
      </w:tr>
      <w:tr w:rsidR="006B20FC" w:rsidRPr="00E33B17" w14:paraId="5F81904F" w14:textId="77777777" w:rsidTr="00C72DF1">
        <w:trPr>
          <w:cantSplit/>
          <w:trHeight w:hRule="exact" w:val="317"/>
          <w:jc w:val="center"/>
        </w:trPr>
        <w:tc>
          <w:tcPr>
            <w:tcW w:w="4198" w:type="dxa"/>
            <w:shd w:val="clear" w:color="auto" w:fill="auto"/>
            <w:vAlign w:val="bottom"/>
          </w:tcPr>
          <w:p w14:paraId="63C357F8" w14:textId="77777777" w:rsidR="006B20FC" w:rsidRPr="00E33B17" w:rsidRDefault="006B20FC" w:rsidP="00C72DF1">
            <w:r w:rsidRPr="00E33B17">
              <w:t xml:space="preserve">350 </w:t>
            </w:r>
            <w:r w:rsidR="006633CA" w:rsidRPr="00E33B17">
              <w:t>–</w:t>
            </w:r>
            <w:r w:rsidRPr="00E33B17">
              <w:t xml:space="preserve"> PECAN VALLEY</w:t>
            </w:r>
          </w:p>
        </w:tc>
        <w:tc>
          <w:tcPr>
            <w:tcW w:w="2146" w:type="dxa"/>
            <w:shd w:val="clear" w:color="auto" w:fill="auto"/>
            <w:noWrap/>
          </w:tcPr>
          <w:p w14:paraId="5812ACF1" w14:textId="77777777" w:rsidR="006B20FC" w:rsidRPr="00E33B17" w:rsidRDefault="006B20FC" w:rsidP="00C72DF1">
            <w:pPr>
              <w:jc w:val="center"/>
            </w:pPr>
            <w:r w:rsidRPr="00E33B17">
              <w:t>5</w:t>
            </w:r>
          </w:p>
        </w:tc>
      </w:tr>
      <w:tr w:rsidR="006B20FC" w:rsidRPr="00E33B17" w14:paraId="1A578AD3" w14:textId="77777777" w:rsidTr="00C72DF1">
        <w:trPr>
          <w:cantSplit/>
          <w:trHeight w:hRule="exact" w:val="317"/>
          <w:jc w:val="center"/>
        </w:trPr>
        <w:tc>
          <w:tcPr>
            <w:tcW w:w="4198" w:type="dxa"/>
            <w:shd w:val="clear" w:color="auto" w:fill="auto"/>
            <w:vAlign w:val="bottom"/>
          </w:tcPr>
          <w:p w14:paraId="088A2315" w14:textId="77777777" w:rsidR="006B20FC" w:rsidRPr="00E33B17" w:rsidRDefault="006B20FC" w:rsidP="00C72DF1">
            <w:r w:rsidRPr="00E33B17">
              <w:t xml:space="preserve">380 </w:t>
            </w:r>
            <w:r w:rsidR="006633CA" w:rsidRPr="00E33B17">
              <w:t>–</w:t>
            </w:r>
            <w:r w:rsidRPr="00E33B17">
              <w:t xml:space="preserve"> TRI</w:t>
            </w:r>
            <w:r w:rsidR="006633CA" w:rsidRPr="00E33B17">
              <w:t>–</w:t>
            </w:r>
            <w:r w:rsidRPr="00E33B17">
              <w:t>COUNTY</w:t>
            </w:r>
          </w:p>
        </w:tc>
        <w:tc>
          <w:tcPr>
            <w:tcW w:w="2146" w:type="dxa"/>
            <w:shd w:val="clear" w:color="auto" w:fill="auto"/>
            <w:noWrap/>
          </w:tcPr>
          <w:p w14:paraId="3670A430" w14:textId="77777777" w:rsidR="006B20FC" w:rsidRPr="00E33B17" w:rsidRDefault="006B20FC" w:rsidP="00C72DF1">
            <w:pPr>
              <w:jc w:val="center"/>
            </w:pPr>
            <w:r w:rsidRPr="00E33B17">
              <w:t>6</w:t>
            </w:r>
          </w:p>
        </w:tc>
      </w:tr>
      <w:tr w:rsidR="006B20FC" w:rsidRPr="00E33B17" w14:paraId="657648A1" w14:textId="77777777" w:rsidTr="00C72DF1">
        <w:trPr>
          <w:cantSplit/>
          <w:trHeight w:hRule="exact" w:val="317"/>
          <w:jc w:val="center"/>
        </w:trPr>
        <w:tc>
          <w:tcPr>
            <w:tcW w:w="4198" w:type="dxa"/>
            <w:shd w:val="clear" w:color="auto" w:fill="auto"/>
            <w:vAlign w:val="bottom"/>
          </w:tcPr>
          <w:p w14:paraId="2B757BC6" w14:textId="77777777" w:rsidR="006B20FC" w:rsidRPr="00E33B17" w:rsidRDefault="006633CA" w:rsidP="00C72DF1">
            <w:r w:rsidRPr="00E33B17">
              <w:t>400 –</w:t>
            </w:r>
            <w:r w:rsidR="006B20FC" w:rsidRPr="00E33B17">
              <w:t xml:space="preserve"> DENTON</w:t>
            </w:r>
          </w:p>
        </w:tc>
        <w:tc>
          <w:tcPr>
            <w:tcW w:w="2146" w:type="dxa"/>
            <w:shd w:val="clear" w:color="auto" w:fill="auto"/>
            <w:noWrap/>
          </w:tcPr>
          <w:p w14:paraId="551A1A78" w14:textId="77777777" w:rsidR="006B20FC" w:rsidRPr="00E33B17" w:rsidRDefault="006B20FC" w:rsidP="00C72DF1">
            <w:pPr>
              <w:jc w:val="center"/>
            </w:pPr>
            <w:r w:rsidRPr="00E33B17">
              <w:t>5</w:t>
            </w:r>
          </w:p>
        </w:tc>
      </w:tr>
      <w:tr w:rsidR="006B20FC" w:rsidRPr="00E33B17" w14:paraId="028D5C04" w14:textId="77777777" w:rsidTr="00C72DF1">
        <w:trPr>
          <w:cantSplit/>
          <w:trHeight w:hRule="exact" w:val="317"/>
          <w:jc w:val="center"/>
        </w:trPr>
        <w:tc>
          <w:tcPr>
            <w:tcW w:w="4198" w:type="dxa"/>
            <w:shd w:val="clear" w:color="auto" w:fill="auto"/>
            <w:vAlign w:val="bottom"/>
          </w:tcPr>
          <w:p w14:paraId="05CD3CEE" w14:textId="77777777" w:rsidR="006B20FC" w:rsidRPr="00E33B17" w:rsidRDefault="006B20FC" w:rsidP="00C72DF1">
            <w:r w:rsidRPr="00E33B17">
              <w:t xml:space="preserve">410 </w:t>
            </w:r>
            <w:r w:rsidR="006633CA" w:rsidRPr="00E33B17">
              <w:t>–</w:t>
            </w:r>
            <w:r w:rsidRPr="00E33B17">
              <w:t xml:space="preserve"> LIFEPATH</w:t>
            </w:r>
          </w:p>
        </w:tc>
        <w:tc>
          <w:tcPr>
            <w:tcW w:w="2146" w:type="dxa"/>
            <w:shd w:val="clear" w:color="auto" w:fill="auto"/>
            <w:noWrap/>
          </w:tcPr>
          <w:p w14:paraId="2DA73447" w14:textId="77777777" w:rsidR="006B20FC" w:rsidRPr="00E33B17" w:rsidRDefault="006B20FC" w:rsidP="00C72DF1">
            <w:pPr>
              <w:jc w:val="center"/>
            </w:pPr>
            <w:r w:rsidRPr="00E33B17">
              <w:t>52</w:t>
            </w:r>
          </w:p>
        </w:tc>
      </w:tr>
      <w:tr w:rsidR="006B20FC" w:rsidRPr="00E33B17" w14:paraId="70614B8C" w14:textId="77777777" w:rsidTr="00C72DF1">
        <w:trPr>
          <w:cantSplit/>
          <w:trHeight w:hRule="exact" w:val="317"/>
          <w:jc w:val="center"/>
        </w:trPr>
        <w:tc>
          <w:tcPr>
            <w:tcW w:w="4198" w:type="dxa"/>
            <w:shd w:val="clear" w:color="auto" w:fill="auto"/>
            <w:vAlign w:val="bottom"/>
          </w:tcPr>
          <w:p w14:paraId="040FBF3A" w14:textId="77777777" w:rsidR="006B20FC" w:rsidRPr="00E33B17" w:rsidRDefault="006633CA" w:rsidP="00C72DF1">
            <w:r w:rsidRPr="00E33B17">
              <w:t>430 –</w:t>
            </w:r>
            <w:r w:rsidR="006B20FC" w:rsidRPr="00E33B17">
              <w:t xml:space="preserve"> TEXANA</w:t>
            </w:r>
          </w:p>
        </w:tc>
        <w:tc>
          <w:tcPr>
            <w:tcW w:w="2146" w:type="dxa"/>
            <w:shd w:val="clear" w:color="auto" w:fill="auto"/>
            <w:noWrap/>
          </w:tcPr>
          <w:p w14:paraId="6B27C945" w14:textId="77777777" w:rsidR="006B20FC" w:rsidRPr="00E33B17" w:rsidRDefault="006B20FC" w:rsidP="00C72DF1">
            <w:pPr>
              <w:jc w:val="center"/>
            </w:pPr>
            <w:r w:rsidRPr="00E33B17">
              <w:t>7</w:t>
            </w:r>
          </w:p>
        </w:tc>
      </w:tr>
      <w:tr w:rsidR="006B20FC" w:rsidRPr="00E33B17" w14:paraId="645AD5A6" w14:textId="77777777" w:rsidTr="00C72DF1">
        <w:trPr>
          <w:cantSplit/>
          <w:trHeight w:hRule="exact" w:val="317"/>
          <w:jc w:val="center"/>
        </w:trPr>
        <w:tc>
          <w:tcPr>
            <w:tcW w:w="4198" w:type="dxa"/>
            <w:shd w:val="clear" w:color="auto" w:fill="auto"/>
            <w:vAlign w:val="bottom"/>
          </w:tcPr>
          <w:p w14:paraId="5F9C35B7" w14:textId="77777777" w:rsidR="006B20FC" w:rsidRPr="00E33B17" w:rsidRDefault="006B20FC" w:rsidP="00C72DF1">
            <w:r w:rsidRPr="00E33B17">
              <w:t>440 – ACCESS</w:t>
            </w:r>
          </w:p>
        </w:tc>
        <w:tc>
          <w:tcPr>
            <w:tcW w:w="2146" w:type="dxa"/>
            <w:shd w:val="clear" w:color="auto" w:fill="auto"/>
            <w:noWrap/>
          </w:tcPr>
          <w:p w14:paraId="06C59110" w14:textId="77777777" w:rsidR="006B20FC" w:rsidRPr="00E33B17" w:rsidRDefault="006B20FC" w:rsidP="00C72DF1">
            <w:pPr>
              <w:jc w:val="center"/>
            </w:pPr>
            <w:r w:rsidRPr="00E33B17">
              <w:t>3</w:t>
            </w:r>
          </w:p>
        </w:tc>
      </w:tr>
      <w:tr w:rsidR="006B20FC" w:rsidRPr="00E33B17" w14:paraId="41F7249D" w14:textId="77777777" w:rsidTr="00C72DF1">
        <w:trPr>
          <w:cantSplit/>
          <w:trHeight w:hRule="exact" w:val="317"/>
          <w:jc w:val="center"/>
        </w:trPr>
        <w:tc>
          <w:tcPr>
            <w:tcW w:w="4198" w:type="dxa"/>
            <w:shd w:val="clear" w:color="auto" w:fill="auto"/>
            <w:vAlign w:val="bottom"/>
          </w:tcPr>
          <w:p w14:paraId="0BC31C0C" w14:textId="77777777" w:rsidR="006B20FC" w:rsidRPr="00E33B17" w:rsidRDefault="006B20FC" w:rsidP="00C72DF1">
            <w:r w:rsidRPr="00E33B17">
              <w:t xml:space="preserve">450 </w:t>
            </w:r>
            <w:r w:rsidR="006633CA" w:rsidRPr="00E33B17">
              <w:t>–</w:t>
            </w:r>
            <w:r w:rsidRPr="00E33B17">
              <w:t xml:space="preserve"> WEST TX</w:t>
            </w:r>
          </w:p>
        </w:tc>
        <w:tc>
          <w:tcPr>
            <w:tcW w:w="2146" w:type="dxa"/>
            <w:shd w:val="clear" w:color="auto" w:fill="auto"/>
            <w:noWrap/>
          </w:tcPr>
          <w:p w14:paraId="5717AA8F" w14:textId="77777777" w:rsidR="006B20FC" w:rsidRPr="00E33B17" w:rsidRDefault="006B20FC" w:rsidP="00C72DF1">
            <w:pPr>
              <w:jc w:val="center"/>
            </w:pPr>
            <w:r w:rsidRPr="00E33B17">
              <w:t>6</w:t>
            </w:r>
          </w:p>
        </w:tc>
      </w:tr>
      <w:tr w:rsidR="006B20FC" w:rsidRPr="00E33B17" w14:paraId="45DC6523" w14:textId="77777777" w:rsidTr="00C72DF1">
        <w:trPr>
          <w:cantSplit/>
          <w:trHeight w:hRule="exact" w:val="317"/>
          <w:jc w:val="center"/>
        </w:trPr>
        <w:tc>
          <w:tcPr>
            <w:tcW w:w="4198" w:type="dxa"/>
            <w:shd w:val="clear" w:color="auto" w:fill="auto"/>
            <w:vAlign w:val="bottom"/>
          </w:tcPr>
          <w:p w14:paraId="41446DC2" w14:textId="77777777" w:rsidR="006B20FC" w:rsidRPr="00E33B17" w:rsidRDefault="006B20FC" w:rsidP="00C72DF1">
            <w:r w:rsidRPr="00E33B17">
              <w:t xml:space="preserve">460 </w:t>
            </w:r>
            <w:r w:rsidR="006633CA" w:rsidRPr="00E33B17">
              <w:t>–</w:t>
            </w:r>
            <w:r w:rsidRPr="00E33B17">
              <w:t xml:space="preserve"> BLUEBONNET</w:t>
            </w:r>
          </w:p>
        </w:tc>
        <w:tc>
          <w:tcPr>
            <w:tcW w:w="2146" w:type="dxa"/>
            <w:shd w:val="clear" w:color="auto" w:fill="auto"/>
            <w:noWrap/>
          </w:tcPr>
          <w:p w14:paraId="79337354" w14:textId="77777777" w:rsidR="006B20FC" w:rsidRPr="00E33B17" w:rsidRDefault="006B20FC" w:rsidP="00C72DF1">
            <w:pPr>
              <w:jc w:val="center"/>
            </w:pPr>
            <w:r w:rsidRPr="00E33B17">
              <w:t>10</w:t>
            </w:r>
          </w:p>
        </w:tc>
      </w:tr>
      <w:tr w:rsidR="006B20FC" w:rsidRPr="00E33B17" w14:paraId="5E6AA80C" w14:textId="77777777" w:rsidTr="00C72DF1">
        <w:trPr>
          <w:cantSplit/>
          <w:trHeight w:hRule="exact" w:val="317"/>
          <w:jc w:val="center"/>
        </w:trPr>
        <w:tc>
          <w:tcPr>
            <w:tcW w:w="4198" w:type="dxa"/>
            <w:shd w:val="clear" w:color="auto" w:fill="auto"/>
            <w:vAlign w:val="bottom"/>
          </w:tcPr>
          <w:p w14:paraId="3320C0DD" w14:textId="77777777" w:rsidR="006B20FC" w:rsidRPr="00E33B17" w:rsidRDefault="006B20FC" w:rsidP="00C72DF1">
            <w:r w:rsidRPr="00E33B17">
              <w:t xml:space="preserve">470 </w:t>
            </w:r>
            <w:r w:rsidR="006633CA" w:rsidRPr="00E33B17">
              <w:t>–</w:t>
            </w:r>
            <w:r w:rsidRPr="00E33B17">
              <w:t xml:space="preserve"> HILL COUNTRY</w:t>
            </w:r>
          </w:p>
        </w:tc>
        <w:tc>
          <w:tcPr>
            <w:tcW w:w="2146" w:type="dxa"/>
            <w:shd w:val="clear" w:color="auto" w:fill="auto"/>
            <w:noWrap/>
          </w:tcPr>
          <w:p w14:paraId="0A93AD43" w14:textId="77777777" w:rsidR="006B20FC" w:rsidRPr="00E33B17" w:rsidRDefault="006B20FC" w:rsidP="00C72DF1">
            <w:pPr>
              <w:jc w:val="center"/>
            </w:pPr>
            <w:r w:rsidRPr="00E33B17">
              <w:t>8</w:t>
            </w:r>
          </w:p>
        </w:tc>
      </w:tr>
      <w:tr w:rsidR="006B20FC" w:rsidRPr="00E33B17" w14:paraId="04E88453" w14:textId="77777777" w:rsidTr="00C72DF1">
        <w:trPr>
          <w:cantSplit/>
          <w:trHeight w:hRule="exact" w:val="317"/>
          <w:jc w:val="center"/>
        </w:trPr>
        <w:tc>
          <w:tcPr>
            <w:tcW w:w="4198" w:type="dxa"/>
            <w:shd w:val="clear" w:color="auto" w:fill="auto"/>
            <w:vAlign w:val="bottom"/>
          </w:tcPr>
          <w:p w14:paraId="3CBDC3DA" w14:textId="77777777" w:rsidR="006B20FC" w:rsidRPr="00E33B17" w:rsidRDefault="006B20FC" w:rsidP="00C72DF1">
            <w:r w:rsidRPr="00E33B17">
              <w:t xml:space="preserve">475 </w:t>
            </w:r>
            <w:r w:rsidR="006633CA" w:rsidRPr="00E33B17">
              <w:t>–</w:t>
            </w:r>
            <w:r w:rsidRPr="00E33B17">
              <w:t xml:space="preserve"> COASTAL PLAINS</w:t>
            </w:r>
          </w:p>
        </w:tc>
        <w:tc>
          <w:tcPr>
            <w:tcW w:w="2146" w:type="dxa"/>
            <w:shd w:val="clear" w:color="auto" w:fill="auto"/>
            <w:noWrap/>
          </w:tcPr>
          <w:p w14:paraId="570F66D3" w14:textId="77777777" w:rsidR="006B20FC" w:rsidRPr="00E33B17" w:rsidRDefault="006B20FC" w:rsidP="00C72DF1">
            <w:pPr>
              <w:jc w:val="center"/>
            </w:pPr>
            <w:r w:rsidRPr="00E33B17">
              <w:t>6</w:t>
            </w:r>
          </w:p>
        </w:tc>
      </w:tr>
      <w:tr w:rsidR="006B20FC" w:rsidRPr="00E33B17" w14:paraId="79FF362D" w14:textId="77777777" w:rsidTr="00C72DF1">
        <w:trPr>
          <w:cantSplit/>
          <w:trHeight w:hRule="exact" w:val="317"/>
          <w:jc w:val="center"/>
        </w:trPr>
        <w:tc>
          <w:tcPr>
            <w:tcW w:w="4198" w:type="dxa"/>
            <w:shd w:val="clear" w:color="auto" w:fill="auto"/>
            <w:vAlign w:val="bottom"/>
          </w:tcPr>
          <w:p w14:paraId="67290532" w14:textId="77777777" w:rsidR="006B20FC" w:rsidRPr="00E33B17" w:rsidRDefault="006B20FC" w:rsidP="00C72DF1">
            <w:r w:rsidRPr="00E33B17">
              <w:lastRenderedPageBreak/>
              <w:t>480 – LAKES</w:t>
            </w:r>
          </w:p>
        </w:tc>
        <w:tc>
          <w:tcPr>
            <w:tcW w:w="2146" w:type="dxa"/>
            <w:shd w:val="clear" w:color="auto" w:fill="auto"/>
            <w:noWrap/>
          </w:tcPr>
          <w:p w14:paraId="2BB92CFA" w14:textId="77777777" w:rsidR="006B20FC" w:rsidRPr="00E33B17" w:rsidRDefault="006B20FC" w:rsidP="00C72DF1">
            <w:pPr>
              <w:jc w:val="center"/>
            </w:pPr>
            <w:r w:rsidRPr="00E33B17">
              <w:t>7</w:t>
            </w:r>
          </w:p>
        </w:tc>
      </w:tr>
      <w:tr w:rsidR="006B20FC" w:rsidRPr="00E33B17" w14:paraId="69F085CF" w14:textId="77777777" w:rsidTr="00C72DF1">
        <w:trPr>
          <w:cantSplit/>
          <w:trHeight w:hRule="exact" w:val="317"/>
          <w:jc w:val="center"/>
        </w:trPr>
        <w:tc>
          <w:tcPr>
            <w:tcW w:w="4198" w:type="dxa"/>
            <w:shd w:val="clear" w:color="auto" w:fill="auto"/>
            <w:vAlign w:val="bottom"/>
          </w:tcPr>
          <w:p w14:paraId="4ECE67DD" w14:textId="77777777" w:rsidR="006B20FC" w:rsidRPr="00E33B17" w:rsidRDefault="006B20FC" w:rsidP="00C72DF1">
            <w:r w:rsidRPr="00E33B17">
              <w:t xml:space="preserve">485 – BORDER </w:t>
            </w:r>
          </w:p>
        </w:tc>
        <w:tc>
          <w:tcPr>
            <w:tcW w:w="2146" w:type="dxa"/>
            <w:shd w:val="clear" w:color="auto" w:fill="auto"/>
            <w:noWrap/>
          </w:tcPr>
          <w:p w14:paraId="5F736B84" w14:textId="77777777" w:rsidR="006B20FC" w:rsidRPr="00E33B17" w:rsidRDefault="006B20FC" w:rsidP="00C72DF1">
            <w:pPr>
              <w:jc w:val="center"/>
            </w:pPr>
            <w:r w:rsidRPr="00E33B17">
              <w:t>5</w:t>
            </w:r>
          </w:p>
        </w:tc>
      </w:tr>
      <w:tr w:rsidR="006B20FC" w:rsidRPr="00E33B17" w14:paraId="54C85526" w14:textId="77777777" w:rsidTr="00C72DF1">
        <w:trPr>
          <w:cantSplit/>
          <w:trHeight w:hRule="exact" w:val="317"/>
          <w:jc w:val="center"/>
        </w:trPr>
        <w:tc>
          <w:tcPr>
            <w:tcW w:w="4198" w:type="dxa"/>
            <w:shd w:val="clear" w:color="auto" w:fill="auto"/>
            <w:vAlign w:val="bottom"/>
          </w:tcPr>
          <w:p w14:paraId="4B4A54C1" w14:textId="77777777" w:rsidR="006B20FC" w:rsidRPr="00E33B17" w:rsidRDefault="006B20FC" w:rsidP="00C72DF1">
            <w:r w:rsidRPr="00E33B17">
              <w:t>490 – CAMINO</w:t>
            </w:r>
          </w:p>
        </w:tc>
        <w:tc>
          <w:tcPr>
            <w:tcW w:w="2146" w:type="dxa"/>
            <w:shd w:val="clear" w:color="auto" w:fill="auto"/>
            <w:noWrap/>
          </w:tcPr>
          <w:p w14:paraId="7DA241EE" w14:textId="77777777" w:rsidR="006B20FC" w:rsidRPr="00E33B17" w:rsidRDefault="006B20FC" w:rsidP="00C72DF1">
            <w:pPr>
              <w:jc w:val="center"/>
            </w:pPr>
            <w:r w:rsidRPr="00E33B17">
              <w:t>4</w:t>
            </w:r>
          </w:p>
        </w:tc>
      </w:tr>
    </w:tbl>
    <w:p w14:paraId="24777F3A" w14:textId="77777777" w:rsidR="001A45CE" w:rsidRPr="00E33B17" w:rsidRDefault="001A45CE" w:rsidP="00C72DF1"/>
    <w:p w14:paraId="1758A78B" w14:textId="5285EE12" w:rsidR="00050003" w:rsidRPr="00C72DF1" w:rsidRDefault="00050003" w:rsidP="00C72DF1">
      <w:pPr>
        <w:jc w:val="center"/>
        <w:rPr>
          <w:b/>
          <w:bCs/>
        </w:rPr>
      </w:pPr>
      <w:r w:rsidRPr="00C72DF1">
        <w:rPr>
          <w:b/>
          <w:bCs/>
        </w:rPr>
        <w:t xml:space="preserve">The following measures will be benchmarked during </w:t>
      </w:r>
      <w:r w:rsidR="00FD3300" w:rsidRPr="00C72DF1">
        <w:rPr>
          <w:b/>
          <w:bCs/>
        </w:rPr>
        <w:t>fiscal year</w:t>
      </w:r>
      <w:r w:rsidR="000F4B68" w:rsidRPr="00C72DF1">
        <w:rPr>
          <w:b/>
          <w:bCs/>
        </w:rPr>
        <w:t>s</w:t>
      </w:r>
      <w:r w:rsidR="00FD3300" w:rsidRPr="00C72DF1">
        <w:rPr>
          <w:b/>
          <w:bCs/>
        </w:rPr>
        <w:t xml:space="preserve"> 202</w:t>
      </w:r>
      <w:r w:rsidR="003376E8" w:rsidRPr="00C72DF1">
        <w:rPr>
          <w:b/>
          <w:bCs/>
        </w:rPr>
        <w:t>4-</w:t>
      </w:r>
      <w:r w:rsidR="000F4B68" w:rsidRPr="00C72DF1">
        <w:rPr>
          <w:b/>
          <w:bCs/>
        </w:rPr>
        <w:t>25</w:t>
      </w:r>
      <w:r w:rsidR="0078213E" w:rsidRPr="00C72DF1">
        <w:rPr>
          <w:b/>
          <w:bCs/>
        </w:rPr>
        <w:t xml:space="preserve">. </w:t>
      </w:r>
      <w:r w:rsidR="00453261" w:rsidRPr="00C72DF1">
        <w:rPr>
          <w:b/>
          <w:bCs/>
        </w:rPr>
        <w:t>No</w:t>
      </w:r>
      <w:r w:rsidRPr="00C72DF1">
        <w:rPr>
          <w:b/>
          <w:bCs/>
        </w:rPr>
        <w:t xml:space="preserve"> sanctions </w:t>
      </w:r>
      <w:r w:rsidR="00453261" w:rsidRPr="00C72DF1">
        <w:rPr>
          <w:b/>
          <w:bCs/>
        </w:rPr>
        <w:t xml:space="preserve">will be </w:t>
      </w:r>
      <w:r w:rsidRPr="00C72DF1">
        <w:rPr>
          <w:b/>
          <w:bCs/>
        </w:rPr>
        <w:t xml:space="preserve">assessed for these </w:t>
      </w:r>
      <w:r w:rsidR="00453261" w:rsidRPr="00C72DF1">
        <w:rPr>
          <w:b/>
          <w:bCs/>
        </w:rPr>
        <w:t>measures</w:t>
      </w:r>
      <w:r w:rsidRPr="00C72DF1">
        <w:rPr>
          <w:b/>
          <w:bCs/>
        </w:rPr>
        <w:t xml:space="preserve"> during the benchmarking </w:t>
      </w:r>
      <w:r w:rsidR="00BD4964" w:rsidRPr="00C72DF1">
        <w:rPr>
          <w:b/>
          <w:bCs/>
        </w:rPr>
        <w:t>period</w:t>
      </w:r>
      <w:r w:rsidRPr="00C72DF1">
        <w:rPr>
          <w:b/>
          <w:bCs/>
        </w:rPr>
        <w:t>.</w:t>
      </w:r>
    </w:p>
    <w:p w14:paraId="1C75B330" w14:textId="0389EDF7" w:rsidR="00C9046D" w:rsidRPr="004A7429" w:rsidRDefault="00CF27D2">
      <w:pPr>
        <w:pStyle w:val="Heading2"/>
      </w:pPr>
      <w:bookmarkStart w:id="132" w:name="_Toc134117571"/>
      <w:r w:rsidRPr="004A7429">
        <w:t>Retention of High Need Adults</w:t>
      </w:r>
      <w:bookmarkEnd w:id="132"/>
    </w:p>
    <w:p w14:paraId="6A67FC9F" w14:textId="77777777" w:rsidR="008C57FB" w:rsidRPr="00E33B17" w:rsidRDefault="00C9046D">
      <w:pPr>
        <w:pStyle w:val="ListParagraph"/>
        <w:numPr>
          <w:ilvl w:val="2"/>
          <w:numId w:val="15"/>
        </w:numPr>
        <w:spacing w:before="120" w:after="120"/>
      </w:pPr>
      <w:r w:rsidRPr="00E33B17">
        <w:t xml:space="preserve">Target: </w:t>
      </w:r>
      <w:r w:rsidR="00737A9E" w:rsidRPr="00E33B17">
        <w:t>The percentage of adults authorized in a FLOC</w:t>
      </w:r>
      <w:r w:rsidR="00CF659B" w:rsidRPr="00E33B17">
        <w:t xml:space="preserve"> </w:t>
      </w:r>
      <w:r w:rsidR="00CF659B" w:rsidRPr="00C72DF1">
        <w:t>in the prior measurement period</w:t>
      </w:r>
      <w:r w:rsidR="00737A9E" w:rsidRPr="00E33B17">
        <w:t xml:space="preserve"> with Assessment Type A</w:t>
      </w:r>
      <w:r w:rsidR="00CF365B" w:rsidRPr="00E33B17">
        <w:t xml:space="preserve"> (admit)</w:t>
      </w:r>
      <w:r w:rsidR="00737A9E" w:rsidRPr="00E33B17">
        <w:t xml:space="preserve"> and LOC</w:t>
      </w:r>
      <w:r w:rsidR="00677893" w:rsidRPr="00E33B17">
        <w:t>-</w:t>
      </w:r>
      <w:r w:rsidR="00737A9E" w:rsidRPr="00E33B17">
        <w:t>R 4 who have</w:t>
      </w:r>
      <w:r w:rsidR="008C57FB" w:rsidRPr="00E33B17">
        <w:t>:</w:t>
      </w:r>
    </w:p>
    <w:p w14:paraId="325344D7" w14:textId="32207600" w:rsidR="008C57FB" w:rsidRPr="00E33B17" w:rsidRDefault="00737A9E">
      <w:pPr>
        <w:pStyle w:val="ListParagraph"/>
        <w:numPr>
          <w:ilvl w:val="3"/>
          <w:numId w:val="15"/>
        </w:numPr>
        <w:spacing w:before="120" w:after="120"/>
      </w:pPr>
      <w:r w:rsidRPr="00E33B17">
        <w:t xml:space="preserve"> </w:t>
      </w:r>
      <w:r w:rsidR="005D1D30" w:rsidRPr="00E33B17">
        <w:t>an in-person</w:t>
      </w:r>
      <w:r w:rsidR="000D700E" w:rsidRPr="00E33B17">
        <w:t>,</w:t>
      </w:r>
      <w:r w:rsidR="00BD4964" w:rsidRPr="00E33B17">
        <w:t xml:space="preserve"> </w:t>
      </w:r>
      <w:r w:rsidR="005D1D30" w:rsidRPr="00E33B17">
        <w:t>synchronous audiovisual</w:t>
      </w:r>
      <w:r w:rsidR="000D700E" w:rsidRPr="00E33B17">
        <w:t>, or synchronous audio-only</w:t>
      </w:r>
      <w:r w:rsidR="005D1D30" w:rsidRPr="00E33B17">
        <w:t xml:space="preserve"> </w:t>
      </w:r>
      <w:r w:rsidRPr="00E33B17">
        <w:t>service contact 90</w:t>
      </w:r>
      <w:r w:rsidR="00B52CDD" w:rsidRPr="00E33B17">
        <w:t xml:space="preserve"> </w:t>
      </w:r>
      <w:r w:rsidR="007D2683" w:rsidRPr="00E33B17">
        <w:t>–</w:t>
      </w:r>
      <w:r w:rsidR="001C6E36" w:rsidRPr="00E33B17">
        <w:t xml:space="preserve"> </w:t>
      </w:r>
      <w:r w:rsidRPr="00E33B17">
        <w:t>180 days following the admit assessment</w:t>
      </w:r>
      <w:r w:rsidR="008C57FB" w:rsidRPr="00E33B17">
        <w:t>;</w:t>
      </w:r>
      <w:r w:rsidRPr="00E33B17">
        <w:t xml:space="preserve"> and </w:t>
      </w:r>
    </w:p>
    <w:p w14:paraId="3F84C738" w14:textId="77777777" w:rsidR="00C9046D" w:rsidRPr="00E33B17" w:rsidRDefault="00737A9E">
      <w:pPr>
        <w:pStyle w:val="ListParagraph"/>
        <w:numPr>
          <w:ilvl w:val="3"/>
          <w:numId w:val="15"/>
        </w:numPr>
        <w:spacing w:before="120" w:after="120"/>
      </w:pPr>
      <w:r w:rsidRPr="00E33B17">
        <w:t xml:space="preserve">a second </w:t>
      </w:r>
      <w:r w:rsidR="001104E4" w:rsidRPr="00E33B17">
        <w:t>A</w:t>
      </w:r>
      <w:r w:rsidRPr="00E33B17">
        <w:t>ssessment</w:t>
      </w:r>
      <w:r w:rsidR="00CF365B" w:rsidRPr="00E33B17">
        <w:t xml:space="preserve"> Type A (admit) or C (continuing) 90</w:t>
      </w:r>
      <w:r w:rsidR="00B52CDD" w:rsidRPr="00E33B17">
        <w:t xml:space="preserve"> </w:t>
      </w:r>
      <w:r w:rsidR="007D2683" w:rsidRPr="00E33B17">
        <w:t>–</w:t>
      </w:r>
      <w:r w:rsidR="001C6E36" w:rsidRPr="00E33B17">
        <w:t xml:space="preserve"> </w:t>
      </w:r>
      <w:r w:rsidR="00CF365B" w:rsidRPr="00E33B17">
        <w:t>210 days after the admit assessment.</w:t>
      </w:r>
    </w:p>
    <w:p w14:paraId="63DB8463" w14:textId="2F1C5928" w:rsidR="00C9046D" w:rsidRPr="00E33B17" w:rsidRDefault="00C9046D">
      <w:pPr>
        <w:pStyle w:val="ListParagraph"/>
        <w:numPr>
          <w:ilvl w:val="2"/>
          <w:numId w:val="15"/>
        </w:numPr>
        <w:spacing w:before="120" w:after="120"/>
      </w:pPr>
      <w:r w:rsidRPr="00E33B17">
        <w:t>Calculation: (Numerator/Denominator</w:t>
      </w:r>
      <w:r w:rsidR="00C72DF1">
        <w:t xml:space="preserve">) * </w:t>
      </w:r>
      <w:r w:rsidRPr="00E33B17">
        <w:t>100</w:t>
      </w:r>
    </w:p>
    <w:p w14:paraId="7772AA05" w14:textId="17315964" w:rsidR="00C9046D" w:rsidRPr="00E33B17" w:rsidRDefault="00C9046D">
      <w:pPr>
        <w:pStyle w:val="ListParagraph"/>
        <w:numPr>
          <w:ilvl w:val="2"/>
          <w:numId w:val="15"/>
        </w:numPr>
        <w:spacing w:before="120" w:after="120"/>
      </w:pPr>
      <w:r w:rsidRPr="00E33B17">
        <w:t>Numerator:</w:t>
      </w:r>
      <w:r w:rsidR="009450C1" w:rsidRPr="00E33B17">
        <w:t xml:space="preserve"> </w:t>
      </w:r>
      <w:r w:rsidR="00C51F62" w:rsidRPr="00E33B17">
        <w:t xml:space="preserve">The number of adults who have </w:t>
      </w:r>
      <w:r w:rsidR="001E7F34" w:rsidRPr="00E33B17">
        <w:t>an in-person</w:t>
      </w:r>
      <w:r w:rsidR="000D700E" w:rsidRPr="00E33B17">
        <w:t xml:space="preserve">, </w:t>
      </w:r>
      <w:r w:rsidR="001E7F34" w:rsidRPr="00E33B17">
        <w:t>synchronous audiovisual</w:t>
      </w:r>
      <w:r w:rsidR="000D700E" w:rsidRPr="00E33B17">
        <w:t>, or synchronous audio-only</w:t>
      </w:r>
      <w:r w:rsidR="00C51F62" w:rsidRPr="00E33B17">
        <w:t xml:space="preserve"> service contact 90</w:t>
      </w:r>
      <w:r w:rsidR="007D2683" w:rsidRPr="00E33B17">
        <w:t>–</w:t>
      </w:r>
      <w:r w:rsidR="00C51F62" w:rsidRPr="00E33B17">
        <w:t>180 days following the admit assessment and a second assessment Type A (admit) or C (continuing) 90</w:t>
      </w:r>
      <w:r w:rsidR="007D2683" w:rsidRPr="00E33B17">
        <w:t>–</w:t>
      </w:r>
      <w:r w:rsidR="00C51F62" w:rsidRPr="00E33B17">
        <w:t>210 days after the admit assessment</w:t>
      </w:r>
      <w:r w:rsidRPr="00E33B17">
        <w:t>.</w:t>
      </w:r>
    </w:p>
    <w:p w14:paraId="04F17CC7" w14:textId="77777777" w:rsidR="00C9046D" w:rsidRPr="00E33B17" w:rsidRDefault="00C9046D">
      <w:pPr>
        <w:pStyle w:val="ListParagraph"/>
        <w:numPr>
          <w:ilvl w:val="2"/>
          <w:numId w:val="15"/>
        </w:numPr>
        <w:spacing w:before="120" w:after="120"/>
      </w:pPr>
      <w:r w:rsidRPr="00E33B17">
        <w:t xml:space="preserve">Denominator: </w:t>
      </w:r>
      <w:r w:rsidR="00CF659B" w:rsidRPr="00E33B17">
        <w:t xml:space="preserve">The number of adults authorized in a FLOC </w:t>
      </w:r>
      <w:r w:rsidR="00CF659B" w:rsidRPr="00C72DF1">
        <w:t xml:space="preserve">in the prior measurement period </w:t>
      </w:r>
      <w:r w:rsidR="00CF659B" w:rsidRPr="00E33B17">
        <w:t>with Assessment Type A (admit) and LOC</w:t>
      </w:r>
      <w:r w:rsidR="007D2683" w:rsidRPr="00E33B17">
        <w:t>–</w:t>
      </w:r>
      <w:r w:rsidR="00CF659B" w:rsidRPr="00E33B17">
        <w:t>R 4</w:t>
      </w:r>
      <w:r w:rsidRPr="00E33B17">
        <w:t>.</w:t>
      </w:r>
    </w:p>
    <w:p w14:paraId="2C476FD4" w14:textId="1E378706" w:rsidR="00BD4347" w:rsidRPr="00E33B17" w:rsidRDefault="00C9046D">
      <w:pPr>
        <w:pStyle w:val="ListParagraph"/>
        <w:numPr>
          <w:ilvl w:val="2"/>
          <w:numId w:val="15"/>
        </w:numPr>
        <w:spacing w:before="120" w:after="120"/>
      </w:pPr>
      <w:r w:rsidRPr="00E33B17">
        <w:t>Exclusion(s)/Exception(s):</w:t>
      </w:r>
      <w:r w:rsidR="0001775D" w:rsidRPr="00E33B17">
        <w:t xml:space="preserve"> </w:t>
      </w:r>
      <w:r w:rsidR="00261CF3" w:rsidRPr="00E33B17">
        <w:t>The service contact 90 – 180 days following the admit assessment</w:t>
      </w:r>
      <w:r w:rsidR="00F85592" w:rsidRPr="00E33B17">
        <w:t xml:space="preserve"> does not include hotline calls.</w:t>
      </w:r>
    </w:p>
    <w:p w14:paraId="0A002966" w14:textId="2B524663" w:rsidR="00C9046D" w:rsidRDefault="00C9046D">
      <w:pPr>
        <w:pStyle w:val="ListParagraph"/>
        <w:numPr>
          <w:ilvl w:val="2"/>
          <w:numId w:val="15"/>
        </w:numPr>
        <w:spacing w:before="120" w:after="120"/>
      </w:pPr>
      <w:r w:rsidRPr="00E33B17">
        <w:t>Data Source</w:t>
      </w:r>
      <w:r w:rsidR="0068270A">
        <w:t xml:space="preserve">: </w:t>
      </w:r>
      <w:r w:rsidRPr="00E33B17">
        <w:t>CMBHS and MBOW.</w:t>
      </w:r>
    </w:p>
    <w:p w14:paraId="1C59DCFB" w14:textId="6E6546BF" w:rsidR="00D445DD" w:rsidRDefault="00D445DD"/>
    <w:p w14:paraId="4340E43A" w14:textId="05DCD400" w:rsidR="00241BCB" w:rsidRPr="004A7429" w:rsidRDefault="00241BCB">
      <w:pPr>
        <w:pStyle w:val="Heading2"/>
      </w:pPr>
      <w:bookmarkStart w:id="133" w:name="_Toc134117572"/>
      <w:bookmarkStart w:id="134" w:name="_Toc134117573"/>
      <w:bookmarkEnd w:id="133"/>
      <w:r w:rsidRPr="004A7429">
        <w:t>High Need Adult</w:t>
      </w:r>
      <w:r w:rsidR="00CE2E5B" w:rsidRPr="004A7429">
        <w:t>s</w:t>
      </w:r>
      <w:r w:rsidR="001D53C5" w:rsidRPr="004A7429">
        <w:t xml:space="preserve"> Functioning</w:t>
      </w:r>
      <w:bookmarkEnd w:id="134"/>
    </w:p>
    <w:p w14:paraId="2B806B6D" w14:textId="77777777" w:rsidR="00241BCB" w:rsidRPr="00E33B17" w:rsidRDefault="00241BCB">
      <w:pPr>
        <w:pStyle w:val="ListParagraph"/>
        <w:numPr>
          <w:ilvl w:val="2"/>
          <w:numId w:val="16"/>
        </w:numPr>
        <w:spacing w:before="120" w:after="120"/>
      </w:pPr>
      <w:r w:rsidRPr="00E33B17">
        <w:t>Target: The percentage of adults authorized in a FLOC with LOC</w:t>
      </w:r>
      <w:r w:rsidR="007D2683" w:rsidRPr="00E33B17">
        <w:t>–</w:t>
      </w:r>
      <w:r w:rsidRPr="00E33B17">
        <w:t xml:space="preserve">R 4 </w:t>
      </w:r>
      <w:r w:rsidR="00751394" w:rsidRPr="00E33B17">
        <w:t xml:space="preserve">who have </w:t>
      </w:r>
      <w:r w:rsidRPr="00E33B17">
        <w:t xml:space="preserve">acceptable or improved functioning </w:t>
      </w:r>
      <w:r w:rsidR="00E51671" w:rsidRPr="00E33B17">
        <w:t xml:space="preserve">in </w:t>
      </w:r>
      <w:r w:rsidRPr="00E33B17">
        <w:t xml:space="preserve">the Life </w:t>
      </w:r>
      <w:r w:rsidR="005C3EDC" w:rsidRPr="00E33B17">
        <w:t xml:space="preserve">Domain </w:t>
      </w:r>
      <w:r w:rsidRPr="00E33B17">
        <w:t xml:space="preserve">Functioning </w:t>
      </w:r>
      <w:r w:rsidR="005C3EDC" w:rsidRPr="00E33B17">
        <w:t>OR the Strengths d</w:t>
      </w:r>
      <w:r w:rsidRPr="00E33B17">
        <w:t>omain of the ANSA.</w:t>
      </w:r>
    </w:p>
    <w:p w14:paraId="78A5ECB7" w14:textId="795F9B4D" w:rsidR="00241BCB" w:rsidRPr="00E33B17" w:rsidRDefault="00241BCB">
      <w:pPr>
        <w:pStyle w:val="ListParagraph"/>
        <w:numPr>
          <w:ilvl w:val="2"/>
          <w:numId w:val="16"/>
        </w:numPr>
        <w:spacing w:before="120" w:after="120"/>
      </w:pPr>
      <w:r w:rsidRPr="00E33B17">
        <w:t>Calculation: (Numerator/Denominator</w:t>
      </w:r>
      <w:r w:rsidR="00C72DF1">
        <w:t xml:space="preserve">) * </w:t>
      </w:r>
      <w:r w:rsidRPr="00E33B17">
        <w:t>100</w:t>
      </w:r>
    </w:p>
    <w:p w14:paraId="10772A8F" w14:textId="77777777" w:rsidR="00241BCB" w:rsidRPr="00E33B17" w:rsidRDefault="00241BCB">
      <w:pPr>
        <w:pStyle w:val="ListParagraph"/>
        <w:numPr>
          <w:ilvl w:val="2"/>
          <w:numId w:val="16"/>
        </w:numPr>
        <w:spacing w:before="120" w:after="120"/>
      </w:pPr>
      <w:r w:rsidRPr="00E33B17">
        <w:t xml:space="preserve">Numerator: The number who meet or exceed the RCI benchmark in the direction of improvement in the Life </w:t>
      </w:r>
      <w:r w:rsidR="005C3EDC" w:rsidRPr="00E33B17">
        <w:t xml:space="preserve">Domain </w:t>
      </w:r>
      <w:r w:rsidRPr="00E33B17">
        <w:t xml:space="preserve">Functioning </w:t>
      </w:r>
      <w:r w:rsidR="005C3EDC" w:rsidRPr="00E33B17">
        <w:t>or the Strengths d</w:t>
      </w:r>
      <w:r w:rsidRPr="00E33B17">
        <w:t xml:space="preserve">omain of the ANSA, OR who </w:t>
      </w:r>
      <w:r w:rsidRPr="00E33B17">
        <w:lastRenderedPageBreak/>
        <w:t xml:space="preserve">have scores of 0 or 1 for all items in the Life </w:t>
      </w:r>
      <w:r w:rsidR="005C3EDC" w:rsidRPr="00E33B17">
        <w:t xml:space="preserve">Domain </w:t>
      </w:r>
      <w:r w:rsidRPr="00E33B17">
        <w:t xml:space="preserve">Functioning </w:t>
      </w:r>
      <w:r w:rsidR="005C3EDC" w:rsidRPr="00E33B17">
        <w:t>or the Strengths d</w:t>
      </w:r>
      <w:r w:rsidRPr="00E33B17">
        <w:t xml:space="preserve">omain on the last </w:t>
      </w:r>
      <w:r w:rsidR="00673419" w:rsidRPr="00E33B17">
        <w:t>UA</w:t>
      </w:r>
      <w:r w:rsidRPr="00E33B17">
        <w:t xml:space="preserve">. </w:t>
      </w:r>
    </w:p>
    <w:p w14:paraId="46A87003" w14:textId="77777777" w:rsidR="00241BCB" w:rsidRPr="00E33B17" w:rsidRDefault="00241BCB">
      <w:pPr>
        <w:pStyle w:val="ListParagraph"/>
        <w:numPr>
          <w:ilvl w:val="2"/>
          <w:numId w:val="16"/>
        </w:numPr>
        <w:spacing w:before="120" w:after="120"/>
      </w:pPr>
      <w:r w:rsidRPr="00E33B17">
        <w:t>Denominator: The number of adults authorized in a FLOC with LOC</w:t>
      </w:r>
      <w:r w:rsidR="007D2683" w:rsidRPr="00E33B17">
        <w:t>–</w:t>
      </w:r>
      <w:r w:rsidRPr="00E33B17">
        <w:t xml:space="preserve">R 4 whose first and last </w:t>
      </w:r>
      <w:r w:rsidR="00673419" w:rsidRPr="00E33B17">
        <w:t>UAs</w:t>
      </w:r>
      <w:r w:rsidRPr="00E33B17">
        <w:t xml:space="preserve"> are at least 90 days apart.</w:t>
      </w:r>
    </w:p>
    <w:p w14:paraId="46DE088B" w14:textId="63D5C637" w:rsidR="00241BCB" w:rsidRPr="00E33B17" w:rsidRDefault="00241BCB">
      <w:pPr>
        <w:pStyle w:val="ListParagraph"/>
        <w:numPr>
          <w:ilvl w:val="2"/>
          <w:numId w:val="16"/>
        </w:numPr>
        <w:spacing w:before="120" w:after="120"/>
      </w:pPr>
      <w:r w:rsidRPr="00E33B17">
        <w:t>Exclusion(s)/Exception(s): N/A</w:t>
      </w:r>
    </w:p>
    <w:p w14:paraId="7E0FF6CA" w14:textId="113E31F7" w:rsidR="00241BCB" w:rsidRDefault="00241BCB">
      <w:pPr>
        <w:pStyle w:val="ListParagraph"/>
        <w:numPr>
          <w:ilvl w:val="2"/>
          <w:numId w:val="16"/>
        </w:numPr>
        <w:spacing w:before="120" w:after="120"/>
      </w:pPr>
      <w:r w:rsidRPr="00E33B17">
        <w:t>Data Source</w:t>
      </w:r>
      <w:r w:rsidR="0068270A">
        <w:t xml:space="preserve">: </w:t>
      </w:r>
      <w:r w:rsidRPr="00E33B17">
        <w:t>CMBHS and MBOW.</w:t>
      </w:r>
    </w:p>
    <w:p w14:paraId="42CB1569" w14:textId="77777777" w:rsidR="00D445DD" w:rsidRPr="00E33B17" w:rsidRDefault="00D445DD" w:rsidP="00C72DF1">
      <w:pPr>
        <w:spacing w:before="120" w:after="120"/>
      </w:pPr>
    </w:p>
    <w:p w14:paraId="457BABAD" w14:textId="771357AE" w:rsidR="00667453" w:rsidRPr="004A7429" w:rsidRDefault="00CF27D2">
      <w:pPr>
        <w:pStyle w:val="Heading2"/>
      </w:pPr>
      <w:bookmarkStart w:id="135" w:name="_Toc134117574"/>
      <w:r w:rsidRPr="004A7429">
        <w:t>Retention of Justice</w:t>
      </w:r>
      <w:r w:rsidR="007D2683" w:rsidRPr="004A7429">
        <w:t>–</w:t>
      </w:r>
      <w:r w:rsidRPr="004A7429">
        <w:t>Involved Adults</w:t>
      </w:r>
      <w:bookmarkEnd w:id="135"/>
    </w:p>
    <w:p w14:paraId="3475F546" w14:textId="77777777" w:rsidR="00B72D20" w:rsidRPr="00E33B17" w:rsidRDefault="00851C91">
      <w:pPr>
        <w:pStyle w:val="ListParagraph"/>
        <w:numPr>
          <w:ilvl w:val="2"/>
          <w:numId w:val="17"/>
        </w:numPr>
        <w:spacing w:before="120" w:after="120"/>
      </w:pPr>
      <w:r w:rsidRPr="00E33B17">
        <w:t>Target: The perc</w:t>
      </w:r>
      <w:r w:rsidR="00AA5766" w:rsidRPr="00E33B17">
        <w:t>entage of adults authorized in</w:t>
      </w:r>
      <w:r w:rsidRPr="00E33B17">
        <w:t xml:space="preserve"> a FLOC in the prior measurement period with Assessment Type A (admit) </w:t>
      </w:r>
      <w:r w:rsidR="0091759E" w:rsidRPr="00E33B17">
        <w:t>and</w:t>
      </w:r>
      <w:r w:rsidR="0081778E" w:rsidRPr="00E33B17">
        <w:t xml:space="preserve"> ANSA scores that</w:t>
      </w:r>
      <w:r w:rsidR="0091759E" w:rsidRPr="00E33B17">
        <w:t xml:space="preserve"> trigger the Criminal Behavior module </w:t>
      </w:r>
      <w:r w:rsidRPr="00E33B17">
        <w:t>who have</w:t>
      </w:r>
      <w:r w:rsidR="00B72D20" w:rsidRPr="00E33B17">
        <w:t>:</w:t>
      </w:r>
    </w:p>
    <w:p w14:paraId="2C4F47B6" w14:textId="4BEA1491" w:rsidR="00B72D20" w:rsidRPr="00E33B17" w:rsidRDefault="009C758C">
      <w:pPr>
        <w:pStyle w:val="ListParagraph"/>
        <w:numPr>
          <w:ilvl w:val="3"/>
          <w:numId w:val="17"/>
        </w:numPr>
        <w:spacing w:before="120" w:after="120"/>
      </w:pPr>
      <w:r w:rsidRPr="00E33B17">
        <w:t>an in-person, synchronous audiovisual, or synchronous audio-only</w:t>
      </w:r>
      <w:r w:rsidR="00851C91" w:rsidRPr="00E33B17">
        <w:t xml:space="preserve"> service contact 90</w:t>
      </w:r>
      <w:r w:rsidR="007D2683" w:rsidRPr="00E33B17">
        <w:t>–</w:t>
      </w:r>
      <w:r w:rsidR="00851C91" w:rsidRPr="00E33B17">
        <w:t>180 days following the admit assessment</w:t>
      </w:r>
      <w:r w:rsidR="00B72D20" w:rsidRPr="00E33B17">
        <w:t>;</w:t>
      </w:r>
      <w:r w:rsidR="00851C91" w:rsidRPr="00E33B17">
        <w:t xml:space="preserve"> and </w:t>
      </w:r>
    </w:p>
    <w:p w14:paraId="787EDD51" w14:textId="77777777" w:rsidR="00667453" w:rsidRPr="00E33B17" w:rsidRDefault="00851C91">
      <w:pPr>
        <w:pStyle w:val="ListParagraph"/>
        <w:numPr>
          <w:ilvl w:val="3"/>
          <w:numId w:val="17"/>
        </w:numPr>
        <w:spacing w:before="120" w:after="120"/>
      </w:pPr>
      <w:r w:rsidRPr="00E33B17">
        <w:t>a second assessment Type A (admit) or C (continuing) 90</w:t>
      </w:r>
      <w:r w:rsidR="007D2683" w:rsidRPr="00E33B17">
        <w:t>–</w:t>
      </w:r>
      <w:r w:rsidRPr="00E33B17">
        <w:t>210 days after the admit assessment</w:t>
      </w:r>
      <w:r w:rsidR="0091759E" w:rsidRPr="00E33B17">
        <w:t>.</w:t>
      </w:r>
    </w:p>
    <w:p w14:paraId="35FD6237" w14:textId="729A5613" w:rsidR="00667453" w:rsidRPr="00E33B17" w:rsidRDefault="00667453">
      <w:pPr>
        <w:pStyle w:val="ListParagraph"/>
        <w:numPr>
          <w:ilvl w:val="2"/>
          <w:numId w:val="17"/>
        </w:numPr>
        <w:spacing w:before="120" w:after="120"/>
      </w:pPr>
      <w:r w:rsidRPr="00E33B17">
        <w:t>Calculation</w:t>
      </w:r>
      <w:r w:rsidR="0068270A">
        <w:t xml:space="preserve">: </w:t>
      </w:r>
      <w:r w:rsidRPr="00E33B17">
        <w:t>(Numerator/Denominator</w:t>
      </w:r>
      <w:r w:rsidR="00C72DF1">
        <w:t xml:space="preserve">) * </w:t>
      </w:r>
      <w:r w:rsidRPr="00E33B17">
        <w:t>100</w:t>
      </w:r>
    </w:p>
    <w:p w14:paraId="54ADA023" w14:textId="3BEF8570" w:rsidR="00667453" w:rsidRPr="00E33B17" w:rsidRDefault="00667453">
      <w:pPr>
        <w:pStyle w:val="ListParagraph"/>
        <w:numPr>
          <w:ilvl w:val="2"/>
          <w:numId w:val="17"/>
        </w:numPr>
        <w:spacing w:before="120" w:after="120"/>
      </w:pPr>
      <w:r w:rsidRPr="00E33B17">
        <w:t xml:space="preserve">Numerator: </w:t>
      </w:r>
      <w:r w:rsidR="0091759E" w:rsidRPr="00E33B17">
        <w:t xml:space="preserve">The number who have </w:t>
      </w:r>
      <w:r w:rsidR="009C758C" w:rsidRPr="00E33B17">
        <w:t xml:space="preserve">an in-person, </w:t>
      </w:r>
      <w:r w:rsidR="00540066" w:rsidRPr="00E33B17">
        <w:t>synchronous audiovisual</w:t>
      </w:r>
      <w:r w:rsidR="00327D51" w:rsidRPr="00E33B17">
        <w:t xml:space="preserve">, or </w:t>
      </w:r>
      <w:r w:rsidR="00540066" w:rsidRPr="00E33B17">
        <w:t>synchronous audio-only</w:t>
      </w:r>
      <w:r w:rsidR="0091759E" w:rsidRPr="00E33B17">
        <w:t xml:space="preserve"> service contact 90</w:t>
      </w:r>
      <w:r w:rsidR="007D2683" w:rsidRPr="00E33B17">
        <w:t>–</w:t>
      </w:r>
      <w:r w:rsidR="0091759E" w:rsidRPr="00E33B17">
        <w:t>180 days following the admit assessment and a second assessment Type A (admit) or C (continuing) 90</w:t>
      </w:r>
      <w:r w:rsidR="007D2683" w:rsidRPr="00E33B17">
        <w:t>–</w:t>
      </w:r>
      <w:r w:rsidR="0091759E" w:rsidRPr="00E33B17">
        <w:t>210 days after the admit assessment</w:t>
      </w:r>
      <w:r w:rsidRPr="00E33B17">
        <w:t>.</w:t>
      </w:r>
    </w:p>
    <w:p w14:paraId="23E5357C" w14:textId="77777777" w:rsidR="00667453" w:rsidRPr="00E33B17" w:rsidRDefault="00667453">
      <w:pPr>
        <w:pStyle w:val="ListParagraph"/>
        <w:numPr>
          <w:ilvl w:val="2"/>
          <w:numId w:val="17"/>
        </w:numPr>
        <w:spacing w:before="120" w:after="120"/>
      </w:pPr>
      <w:r w:rsidRPr="00E33B17">
        <w:t xml:space="preserve">Denominator: </w:t>
      </w:r>
      <w:r w:rsidR="008A152F" w:rsidRPr="00E33B17">
        <w:t xml:space="preserve">The </w:t>
      </w:r>
      <w:r w:rsidR="00AA5766" w:rsidRPr="00E33B17">
        <w:t>number of adults authorized in</w:t>
      </w:r>
      <w:r w:rsidR="008A152F" w:rsidRPr="00E33B17">
        <w:t xml:space="preserve"> a FLOC </w:t>
      </w:r>
      <w:r w:rsidR="008A152F" w:rsidRPr="00C72DF1">
        <w:t>in the prior measurement period</w:t>
      </w:r>
      <w:r w:rsidR="008A152F" w:rsidRPr="00E33B17">
        <w:t xml:space="preserve"> with Assessment Type A (admit) </w:t>
      </w:r>
      <w:r w:rsidR="00662491" w:rsidRPr="00E33B17">
        <w:t xml:space="preserve">who have ANSA scores triggering the Criminal Behavior module on the </w:t>
      </w:r>
      <w:r w:rsidR="008A152F" w:rsidRPr="00E33B17">
        <w:t>admit assessment</w:t>
      </w:r>
      <w:r w:rsidRPr="00E33B17">
        <w:t>.</w:t>
      </w:r>
    </w:p>
    <w:p w14:paraId="2B419690" w14:textId="7A8D4547" w:rsidR="00667453" w:rsidRPr="00E33B17" w:rsidRDefault="00667453">
      <w:pPr>
        <w:pStyle w:val="ListParagraph"/>
        <w:numPr>
          <w:ilvl w:val="2"/>
          <w:numId w:val="17"/>
        </w:numPr>
        <w:spacing w:before="120" w:after="120"/>
      </w:pPr>
      <w:r w:rsidRPr="00E33B17">
        <w:t xml:space="preserve">Exclusion(s)/Exception(s): </w:t>
      </w:r>
      <w:r w:rsidR="00197279" w:rsidRPr="00E33B17">
        <w:t>Hotline calls are excluded from the numerator</w:t>
      </w:r>
      <w:r w:rsidR="00F85592" w:rsidRPr="00E33B17">
        <w:t>.</w:t>
      </w:r>
    </w:p>
    <w:p w14:paraId="5BA76E0F" w14:textId="405151B8" w:rsidR="00667453" w:rsidRDefault="00667453">
      <w:pPr>
        <w:pStyle w:val="ListParagraph"/>
        <w:numPr>
          <w:ilvl w:val="2"/>
          <w:numId w:val="17"/>
        </w:numPr>
        <w:spacing w:before="120" w:after="120"/>
      </w:pPr>
      <w:r w:rsidRPr="00E33B17">
        <w:t>Data Source</w:t>
      </w:r>
      <w:r w:rsidR="0068270A">
        <w:t xml:space="preserve">: </w:t>
      </w:r>
      <w:r w:rsidRPr="00E33B17">
        <w:t>CMBHS and MBOW.</w:t>
      </w:r>
    </w:p>
    <w:p w14:paraId="2E3F8E57" w14:textId="77777777" w:rsidR="00D445DD" w:rsidRPr="00E33B17" w:rsidRDefault="00D445DD" w:rsidP="00C72DF1">
      <w:pPr>
        <w:spacing w:before="120" w:after="120"/>
      </w:pPr>
    </w:p>
    <w:p w14:paraId="41361E80" w14:textId="5E1A9CF7" w:rsidR="007D6D11" w:rsidRPr="004A7429" w:rsidRDefault="00E35B47">
      <w:pPr>
        <w:pStyle w:val="Heading2"/>
      </w:pPr>
      <w:bookmarkStart w:id="136" w:name="_Toc134117575"/>
      <w:r w:rsidRPr="004A7429">
        <w:t>Criminal Justice</w:t>
      </w:r>
      <w:r w:rsidR="00337F66" w:rsidRPr="004A7429">
        <w:t xml:space="preserve"> Outcomes</w:t>
      </w:r>
      <w:bookmarkEnd w:id="136"/>
    </w:p>
    <w:p w14:paraId="543CE14D" w14:textId="77777777" w:rsidR="007D6D11" w:rsidRPr="00E33B17" w:rsidRDefault="007D6D11">
      <w:pPr>
        <w:pStyle w:val="ListParagraph"/>
        <w:numPr>
          <w:ilvl w:val="2"/>
          <w:numId w:val="18"/>
        </w:numPr>
        <w:spacing w:before="120" w:after="120"/>
      </w:pPr>
      <w:r w:rsidRPr="00E33B17">
        <w:t xml:space="preserve">Target: The percentage of adults authorized in a FLOC </w:t>
      </w:r>
      <w:r w:rsidR="003B2429" w:rsidRPr="00E33B17">
        <w:t xml:space="preserve">with ANSA scores that </w:t>
      </w:r>
      <w:r w:rsidR="000E4770" w:rsidRPr="00E33B17">
        <w:t xml:space="preserve">trigger the Criminal Behavior module </w:t>
      </w:r>
      <w:r w:rsidR="003B2429" w:rsidRPr="00E33B17">
        <w:t>who have</w:t>
      </w:r>
      <w:r w:rsidR="000E4770" w:rsidRPr="00E33B17">
        <w:t xml:space="preserve"> acceptable </w:t>
      </w:r>
      <w:r w:rsidR="00237ECA" w:rsidRPr="00E33B17">
        <w:t xml:space="preserve">or improved </w:t>
      </w:r>
      <w:r w:rsidR="00614790" w:rsidRPr="00E33B17">
        <w:t>functioning</w:t>
      </w:r>
      <w:r w:rsidR="00235A07" w:rsidRPr="00E33B17">
        <w:t xml:space="preserve"> </w:t>
      </w:r>
      <w:r w:rsidR="00E854BF" w:rsidRPr="00E33B17">
        <w:t>in the Criminal Behavior module.</w:t>
      </w:r>
    </w:p>
    <w:p w14:paraId="3E9C27C8" w14:textId="476C9795" w:rsidR="007D6D11" w:rsidRPr="00E33B17" w:rsidRDefault="007D6D11">
      <w:pPr>
        <w:pStyle w:val="ListParagraph"/>
        <w:numPr>
          <w:ilvl w:val="2"/>
          <w:numId w:val="18"/>
        </w:numPr>
        <w:spacing w:before="120" w:after="120"/>
      </w:pPr>
      <w:r w:rsidRPr="00E33B17">
        <w:t>Calculation: (Numerator/Denominator</w:t>
      </w:r>
      <w:r w:rsidR="00C72DF1">
        <w:t xml:space="preserve">) * </w:t>
      </w:r>
      <w:r w:rsidRPr="00E33B17">
        <w:t>100</w:t>
      </w:r>
    </w:p>
    <w:p w14:paraId="07AEF136" w14:textId="77777777" w:rsidR="00CC4655" w:rsidRPr="00E33B17" w:rsidRDefault="007D6D11">
      <w:pPr>
        <w:pStyle w:val="ListParagraph"/>
        <w:numPr>
          <w:ilvl w:val="2"/>
          <w:numId w:val="18"/>
        </w:numPr>
        <w:spacing w:before="120" w:after="120"/>
      </w:pPr>
      <w:r w:rsidRPr="00E33B17">
        <w:t xml:space="preserve">Numerator: The number </w:t>
      </w:r>
      <w:r w:rsidR="004A395E" w:rsidRPr="00E33B17">
        <w:t xml:space="preserve">with last </w:t>
      </w:r>
      <w:r w:rsidR="0036031B" w:rsidRPr="00E33B17">
        <w:t>UA</w:t>
      </w:r>
      <w:r w:rsidR="004A395E" w:rsidRPr="00E33B17">
        <w:t>s that</w:t>
      </w:r>
      <w:r w:rsidR="00CC4655" w:rsidRPr="00E33B17">
        <w:t>:</w:t>
      </w:r>
    </w:p>
    <w:p w14:paraId="5D685804" w14:textId="2C000E11" w:rsidR="00500217" w:rsidRPr="00E33B17" w:rsidRDefault="00CC4655">
      <w:pPr>
        <w:pStyle w:val="ListParagraph"/>
        <w:numPr>
          <w:ilvl w:val="3"/>
          <w:numId w:val="18"/>
        </w:numPr>
        <w:spacing w:before="120" w:after="120"/>
      </w:pPr>
      <w:r w:rsidRPr="00E33B17">
        <w:lastRenderedPageBreak/>
        <w:t>show improvement</w:t>
      </w:r>
      <w:r w:rsidR="007D6D11" w:rsidRPr="00E33B17">
        <w:t xml:space="preserve"> </w:t>
      </w:r>
      <w:r w:rsidRPr="00E33B17">
        <w:t>(</w:t>
      </w:r>
      <w:r w:rsidR="007D6D11" w:rsidRPr="00E33B17">
        <w:t>meet or exceed the RCI benchmark in the direction of improvement</w:t>
      </w:r>
      <w:r w:rsidRPr="00E33B17">
        <w:t>) on the total score for the</w:t>
      </w:r>
      <w:r w:rsidR="00500217" w:rsidRPr="00E33B17">
        <w:t xml:space="preserve"> </w:t>
      </w:r>
      <w:r w:rsidR="00533265" w:rsidRPr="00E33B17">
        <w:t xml:space="preserve">following </w:t>
      </w:r>
      <w:r w:rsidRPr="00E33B17">
        <w:t>ANSA</w:t>
      </w:r>
      <w:r w:rsidR="007D6D11" w:rsidRPr="00E33B17">
        <w:t xml:space="preserve"> </w:t>
      </w:r>
      <w:r w:rsidR="006D28BE" w:rsidRPr="00E33B17">
        <w:t>Criminal Behavior module</w:t>
      </w:r>
      <w:r w:rsidR="00500217" w:rsidRPr="00E33B17">
        <w:t xml:space="preserve"> items</w:t>
      </w:r>
      <w:r w:rsidR="0068270A">
        <w:t xml:space="preserve">: </w:t>
      </w:r>
      <w:r w:rsidR="00533265" w:rsidRPr="00E33B17">
        <w:t>Seriousness, Arrests, Planning, Community Safety, and Legal Compliance</w:t>
      </w:r>
      <w:r w:rsidR="00500217" w:rsidRPr="00E33B17">
        <w:t>;</w:t>
      </w:r>
      <w:r w:rsidR="00533265" w:rsidRPr="00E33B17">
        <w:t xml:space="preserve"> OR</w:t>
      </w:r>
    </w:p>
    <w:p w14:paraId="07058286" w14:textId="77777777" w:rsidR="00533265" w:rsidRPr="00E33B17" w:rsidRDefault="00533265">
      <w:pPr>
        <w:pStyle w:val="ListParagraph"/>
        <w:numPr>
          <w:ilvl w:val="3"/>
          <w:numId w:val="18"/>
        </w:numPr>
        <w:spacing w:before="120" w:after="120"/>
      </w:pPr>
      <w:r w:rsidRPr="00E33B17">
        <w:t>have acceptable scores on these items</w:t>
      </w:r>
      <w:r w:rsidR="00D0504B" w:rsidRPr="00E33B17">
        <w:t>, defined as a score of 0 for all items except Arrest, which can have a score of 0 or 1; OR</w:t>
      </w:r>
    </w:p>
    <w:p w14:paraId="796D05D3" w14:textId="77777777" w:rsidR="007D6D11" w:rsidRPr="00E33B17" w:rsidRDefault="00D0504B">
      <w:pPr>
        <w:pStyle w:val="ListParagraph"/>
        <w:numPr>
          <w:ilvl w:val="3"/>
          <w:numId w:val="18"/>
        </w:numPr>
        <w:spacing w:before="120" w:after="120"/>
      </w:pPr>
      <w:r w:rsidRPr="00E33B17">
        <w:t xml:space="preserve">have ANSA scores of 0 or 1 on the criminal behavior item. </w:t>
      </w:r>
    </w:p>
    <w:p w14:paraId="668563DD" w14:textId="77777777" w:rsidR="007D6D11" w:rsidRPr="00E33B17" w:rsidRDefault="007D6D11">
      <w:pPr>
        <w:pStyle w:val="ListParagraph"/>
        <w:numPr>
          <w:ilvl w:val="2"/>
          <w:numId w:val="18"/>
        </w:numPr>
        <w:spacing w:before="120" w:after="120"/>
      </w:pPr>
      <w:r w:rsidRPr="00E33B17">
        <w:t xml:space="preserve">Denominator: The number of adults authorized in a FLOC with </w:t>
      </w:r>
      <w:r w:rsidR="00A14AD0" w:rsidRPr="00E33B17">
        <w:t xml:space="preserve">first and last </w:t>
      </w:r>
      <w:r w:rsidR="0036031B" w:rsidRPr="00E33B17">
        <w:t>UA</w:t>
      </w:r>
      <w:r w:rsidR="00A14AD0" w:rsidRPr="00E33B17">
        <w:t xml:space="preserve">s at least 90 days apart </w:t>
      </w:r>
      <w:r w:rsidR="00985E38" w:rsidRPr="00E33B17">
        <w:t xml:space="preserve">and ANSA scores that </w:t>
      </w:r>
      <w:r w:rsidR="00A14AD0" w:rsidRPr="00E33B17">
        <w:t xml:space="preserve">trigger the Criminal Behavior module on the first </w:t>
      </w:r>
      <w:r w:rsidR="0036031B" w:rsidRPr="00E33B17">
        <w:t>UA</w:t>
      </w:r>
      <w:r w:rsidRPr="00E33B17">
        <w:t>.</w:t>
      </w:r>
    </w:p>
    <w:p w14:paraId="26550B00" w14:textId="19285AF9" w:rsidR="007D6D11" w:rsidRPr="00E33B17" w:rsidRDefault="007D6D11">
      <w:pPr>
        <w:pStyle w:val="ListParagraph"/>
        <w:numPr>
          <w:ilvl w:val="2"/>
          <w:numId w:val="18"/>
        </w:numPr>
        <w:spacing w:before="120" w:after="120"/>
      </w:pPr>
      <w:r w:rsidRPr="00E33B17">
        <w:t>Exclusion(s)/Exception(s): N/A</w:t>
      </w:r>
    </w:p>
    <w:p w14:paraId="6A40CC53" w14:textId="2DB09E42" w:rsidR="007D6D11" w:rsidRPr="00E33B17" w:rsidRDefault="007D6D11">
      <w:pPr>
        <w:pStyle w:val="ListParagraph"/>
        <w:numPr>
          <w:ilvl w:val="2"/>
          <w:numId w:val="18"/>
        </w:numPr>
        <w:spacing w:before="120" w:after="120"/>
      </w:pPr>
      <w:r w:rsidRPr="00E33B17">
        <w:t>Data Source</w:t>
      </w:r>
      <w:r w:rsidR="0068270A">
        <w:t xml:space="preserve">: </w:t>
      </w:r>
      <w:r w:rsidRPr="00E33B17">
        <w:t>CMBHS and MBOW.</w:t>
      </w:r>
    </w:p>
    <w:p w14:paraId="77650F6A" w14:textId="77777777" w:rsidR="00560B3E" w:rsidRDefault="00560B3E" w:rsidP="00C72DF1">
      <w:pPr>
        <w:jc w:val="center"/>
        <w:rPr>
          <w:i/>
          <w:iCs/>
        </w:rPr>
      </w:pPr>
    </w:p>
    <w:p w14:paraId="1878928F" w14:textId="3B48EAD0" w:rsidR="00C72DF1" w:rsidRPr="00C72DF1" w:rsidRDefault="00C72DF1" w:rsidP="00C72DF1">
      <w:pPr>
        <w:jc w:val="center"/>
      </w:pPr>
      <w:r>
        <w:rPr>
          <w:i/>
          <w:iCs/>
        </w:rPr>
        <w:t>Remainder of Page Intentionally Left Blank</w:t>
      </w:r>
      <w:r w:rsidRPr="00E33B17">
        <w:br w:type="page"/>
      </w:r>
    </w:p>
    <w:p w14:paraId="2D9A5D17" w14:textId="12E1981F" w:rsidR="0088075F" w:rsidRDefault="00B457C3">
      <w:pPr>
        <w:pStyle w:val="Heading1"/>
      </w:pPr>
      <w:bookmarkStart w:id="137" w:name="_Toc134117576"/>
      <w:r w:rsidRPr="004A7429">
        <w:lastRenderedPageBreak/>
        <w:t xml:space="preserve">Child </w:t>
      </w:r>
      <w:r w:rsidR="0088075F" w:rsidRPr="004A7429">
        <w:t>Services</w:t>
      </w:r>
      <w:bookmarkEnd w:id="137"/>
    </w:p>
    <w:p w14:paraId="73958B91" w14:textId="7CA09252" w:rsidR="004E797A" w:rsidRPr="00C72DF1" w:rsidRDefault="00560B3E" w:rsidP="00C72DF1">
      <w:pPr>
        <w:spacing w:before="240" w:after="240"/>
        <w:rPr>
          <w:b/>
          <w:sz w:val="28"/>
          <w:szCs w:val="28"/>
        </w:rPr>
      </w:pPr>
      <w:r>
        <w:t>Unless otherwise noted below, m</w:t>
      </w:r>
      <w:r w:rsidRPr="009E62ED">
        <w:t>easures shall be assessed 37 calendar days following the close of Quarter 2 (measuring Quarters 1 and 2) and Quarter 4 (Measuring Quarters 3 and 4). Quarters start September 1st of each year and end August 31st of each year</w:t>
      </w:r>
      <w:r w:rsidR="0078213E" w:rsidRPr="009E62ED">
        <w:t xml:space="preserve">. </w:t>
      </w:r>
      <w:r w:rsidRPr="009E62ED">
        <w:t xml:space="preserve">For each measure Grantee does not meet, </w:t>
      </w:r>
      <w:r>
        <w:t>HHSC may</w:t>
      </w:r>
      <w:r w:rsidRPr="009E62ED">
        <w:t xml:space="preserve"> employ remedies/sanctions available under Article VII of Contract Attachment C, LMHA Special Conditions.</w:t>
      </w:r>
    </w:p>
    <w:p w14:paraId="15F20ED4" w14:textId="61900B8E" w:rsidR="0088075F" w:rsidRPr="004A7429" w:rsidRDefault="00F47E27">
      <w:pPr>
        <w:pStyle w:val="Heading2"/>
      </w:pPr>
      <w:bookmarkStart w:id="138" w:name="_Toc134117577"/>
      <w:r w:rsidRPr="004A7429">
        <w:t xml:space="preserve">Child </w:t>
      </w:r>
      <w:r w:rsidR="0088075F" w:rsidRPr="004A7429">
        <w:t>Service Target</w:t>
      </w:r>
      <w:bookmarkEnd w:id="138"/>
    </w:p>
    <w:p w14:paraId="022F9BD5" w14:textId="67A0BF10" w:rsidR="0088075F" w:rsidRPr="00E33B17" w:rsidRDefault="0088075F">
      <w:pPr>
        <w:pStyle w:val="ListParagraph"/>
        <w:numPr>
          <w:ilvl w:val="2"/>
          <w:numId w:val="19"/>
        </w:numPr>
        <w:spacing w:before="120" w:after="120"/>
      </w:pPr>
      <w:r w:rsidRPr="00E33B17">
        <w:t xml:space="preserve">Target: </w:t>
      </w:r>
      <w:r w:rsidR="00B87262" w:rsidRPr="00C72DF1">
        <w:t>The average monthly</w:t>
      </w:r>
      <w:r w:rsidR="00B87262" w:rsidRPr="00E33B17">
        <w:t xml:space="preserve"> number</w:t>
      </w:r>
      <w:r w:rsidR="00B87262" w:rsidRPr="00C72DF1">
        <w:t xml:space="preserve"> </w:t>
      </w:r>
      <w:r w:rsidR="00B87262" w:rsidRPr="00E33B17">
        <w:t>of</w:t>
      </w:r>
      <w:r w:rsidR="00B87262" w:rsidRPr="00C72DF1">
        <w:t xml:space="preserve"> children authorized</w:t>
      </w:r>
      <w:r w:rsidR="00B87262" w:rsidRPr="00E33B17">
        <w:t xml:space="preserve"> in</w:t>
      </w:r>
      <w:r w:rsidR="00B87262" w:rsidRPr="00C72DF1">
        <w:t xml:space="preserve"> </w:t>
      </w:r>
      <w:r w:rsidR="00B87262" w:rsidRPr="00E33B17">
        <w:t>a</w:t>
      </w:r>
      <w:r w:rsidR="00B87262" w:rsidRPr="00C72DF1">
        <w:t xml:space="preserve"> Full Level</w:t>
      </w:r>
      <w:r w:rsidR="00B87262" w:rsidRPr="00E33B17">
        <w:t xml:space="preserve"> </w:t>
      </w:r>
      <w:r w:rsidR="00B87262" w:rsidRPr="00C72DF1">
        <w:t xml:space="preserve">of Care (FLOC). </w:t>
      </w:r>
      <w:r w:rsidRPr="00E33B17">
        <w:t xml:space="preserve">The statewide performance level for the </w:t>
      </w:r>
      <w:r w:rsidR="00B457C3" w:rsidRPr="00E33B17">
        <w:t xml:space="preserve">child </w:t>
      </w:r>
      <w:r w:rsidRPr="00E33B17">
        <w:t>service target is 100%.</w:t>
      </w:r>
    </w:p>
    <w:p w14:paraId="7779F26C" w14:textId="43EB7129" w:rsidR="0088075F" w:rsidRPr="00E33B17" w:rsidRDefault="0088075F">
      <w:pPr>
        <w:pStyle w:val="ListParagraph"/>
        <w:numPr>
          <w:ilvl w:val="2"/>
          <w:numId w:val="19"/>
        </w:numPr>
        <w:spacing w:before="120" w:after="120"/>
      </w:pPr>
      <w:r w:rsidRPr="00E33B17">
        <w:t>Calculation: (Numerator/Denominator</w:t>
      </w:r>
      <w:r w:rsidR="00C72DF1">
        <w:t xml:space="preserve">) * </w:t>
      </w:r>
      <w:r w:rsidRPr="00E33B17">
        <w:t>100</w:t>
      </w:r>
    </w:p>
    <w:p w14:paraId="1C561459" w14:textId="3A6105E4" w:rsidR="0088075F" w:rsidRPr="00E33B17" w:rsidRDefault="0088075F">
      <w:pPr>
        <w:pStyle w:val="ListParagraph"/>
        <w:numPr>
          <w:ilvl w:val="2"/>
          <w:numId w:val="19"/>
        </w:numPr>
        <w:spacing w:before="120" w:after="120"/>
      </w:pPr>
      <w:r w:rsidRPr="00E33B17">
        <w:t>Numerator: The total number of Client Months in which a client was authorized in a FLOC</w:t>
      </w:r>
      <w:r w:rsidR="00B457C3" w:rsidRPr="00E33B17">
        <w:t xml:space="preserve"> or LOC</w:t>
      </w:r>
      <w:r w:rsidR="007D2683" w:rsidRPr="00E33B17">
        <w:t>–</w:t>
      </w:r>
      <w:r w:rsidR="00B457C3" w:rsidRPr="00E33B17">
        <w:t>Y (YES Waiver)</w:t>
      </w:r>
      <w:r w:rsidRPr="00E33B17">
        <w:t>.</w:t>
      </w:r>
    </w:p>
    <w:p w14:paraId="2D574F28" w14:textId="372BC70F" w:rsidR="0088075F" w:rsidRPr="00E33B17" w:rsidRDefault="0088075F">
      <w:pPr>
        <w:pStyle w:val="ListParagraph"/>
        <w:numPr>
          <w:ilvl w:val="2"/>
          <w:numId w:val="19"/>
        </w:numPr>
        <w:spacing w:before="120" w:after="120"/>
      </w:pPr>
      <w:r w:rsidRPr="00E33B17">
        <w:t xml:space="preserve">Denominator: The target assigned to the </w:t>
      </w:r>
      <w:r w:rsidR="00B235DF">
        <w:t>Grantee</w:t>
      </w:r>
      <w:r w:rsidRPr="00E33B17">
        <w:t xml:space="preserve"> times six months.</w:t>
      </w:r>
    </w:p>
    <w:p w14:paraId="09848D8C" w14:textId="25804C03" w:rsidR="0088075F" w:rsidRPr="00E33B17" w:rsidRDefault="0088075F">
      <w:pPr>
        <w:pStyle w:val="ListParagraph"/>
        <w:numPr>
          <w:ilvl w:val="2"/>
          <w:numId w:val="19"/>
        </w:numPr>
        <w:spacing w:before="120" w:after="120"/>
      </w:pPr>
      <w:r w:rsidRPr="00E33B17">
        <w:t>Exclusion(s)/Exception(s): N/A</w:t>
      </w:r>
    </w:p>
    <w:p w14:paraId="7EA61C4A" w14:textId="517524D9" w:rsidR="0088075F" w:rsidRDefault="0088075F">
      <w:pPr>
        <w:pStyle w:val="ListParagraph"/>
        <w:numPr>
          <w:ilvl w:val="2"/>
          <w:numId w:val="19"/>
        </w:numPr>
        <w:spacing w:before="120" w:after="120"/>
      </w:pPr>
      <w:r w:rsidRPr="00E33B17">
        <w:t>Data Source: CMBHS and MBOW.</w:t>
      </w:r>
    </w:p>
    <w:p w14:paraId="742449E4" w14:textId="77777777" w:rsidR="004E797A" w:rsidRPr="004A7429" w:rsidRDefault="004E797A" w:rsidP="00C72DF1"/>
    <w:p w14:paraId="0A2FD157" w14:textId="710EC77A" w:rsidR="00B8055D" w:rsidRPr="004A7429" w:rsidRDefault="00B8055D">
      <w:pPr>
        <w:pStyle w:val="Heading2"/>
      </w:pPr>
      <w:bookmarkStart w:id="139" w:name="_Toc134117578"/>
      <w:r w:rsidRPr="004A7429">
        <w:t>Child Monthly Service Provision</w:t>
      </w:r>
      <w:bookmarkEnd w:id="139"/>
    </w:p>
    <w:p w14:paraId="677EA848" w14:textId="7998AF35" w:rsidR="00B8055D" w:rsidRPr="00E33B17" w:rsidRDefault="00B8055D">
      <w:pPr>
        <w:pStyle w:val="ListParagraph"/>
        <w:numPr>
          <w:ilvl w:val="2"/>
          <w:numId w:val="20"/>
        </w:numPr>
        <w:spacing w:before="120" w:after="120"/>
      </w:pPr>
      <w:r w:rsidRPr="00E33B17">
        <w:t xml:space="preserve">Target: An average of </w:t>
      </w:r>
      <w:r w:rsidR="001C188B">
        <w:t xml:space="preserve">at </w:t>
      </w:r>
      <w:r w:rsidRPr="00E33B17">
        <w:t xml:space="preserve">least 65.0% of children authorized in a FLOC or LOC–Y (YES Waiver) shall receive at least one </w:t>
      </w:r>
      <w:r w:rsidR="00293DBE" w:rsidRPr="00E33B17">
        <w:t>i</w:t>
      </w:r>
      <w:r w:rsidR="00BA0A8A" w:rsidRPr="00E33B17">
        <w:t>n-person</w:t>
      </w:r>
      <w:r w:rsidR="00100745" w:rsidRPr="00E33B17">
        <w:t>,</w:t>
      </w:r>
      <w:r w:rsidR="00C2671B" w:rsidRPr="00E33B17">
        <w:t xml:space="preserve"> </w:t>
      </w:r>
      <w:r w:rsidR="00BA0A8A" w:rsidRPr="00E33B17">
        <w:t>synchronous audiovisual</w:t>
      </w:r>
      <w:r w:rsidR="00100745" w:rsidRPr="00E33B17">
        <w:t>, or synchronous audio-only</w:t>
      </w:r>
      <w:r w:rsidR="00BA0A8A" w:rsidRPr="00E33B17">
        <w:t xml:space="preserve"> encounter</w:t>
      </w:r>
      <w:r w:rsidRPr="00E33B17">
        <w:t xml:space="preserve"> each month. </w:t>
      </w:r>
    </w:p>
    <w:p w14:paraId="010ABC69" w14:textId="5182E397" w:rsidR="00B8055D" w:rsidRPr="00E33B17" w:rsidRDefault="00B8055D">
      <w:pPr>
        <w:pStyle w:val="ListParagraph"/>
        <w:numPr>
          <w:ilvl w:val="2"/>
          <w:numId w:val="20"/>
        </w:numPr>
        <w:spacing w:before="120" w:after="120"/>
      </w:pPr>
      <w:r w:rsidRPr="00E33B17">
        <w:t>Calculation: (Numerator/Denominator</w:t>
      </w:r>
      <w:r w:rsidR="00C72DF1">
        <w:t xml:space="preserve">) * </w:t>
      </w:r>
      <w:r w:rsidRPr="00E33B17">
        <w:t>100</w:t>
      </w:r>
    </w:p>
    <w:p w14:paraId="13EAAAFD" w14:textId="3C05EE5E" w:rsidR="00B8055D" w:rsidRPr="00E33B17" w:rsidRDefault="00B8055D">
      <w:pPr>
        <w:pStyle w:val="ListParagraph"/>
        <w:numPr>
          <w:ilvl w:val="2"/>
          <w:numId w:val="20"/>
        </w:numPr>
        <w:spacing w:before="120" w:after="120"/>
      </w:pPr>
      <w:r w:rsidRPr="00E33B17">
        <w:t xml:space="preserve">Numerator: The number receiving at least one </w:t>
      </w:r>
      <w:r w:rsidR="00293DBE" w:rsidRPr="00E33B17">
        <w:t>in-person or synchronous audiovisual</w:t>
      </w:r>
      <w:r w:rsidRPr="00E33B17">
        <w:t xml:space="preserve"> encounter in that month. Encounters may be for any service and for any length of time.</w:t>
      </w:r>
    </w:p>
    <w:p w14:paraId="2CAE7126" w14:textId="528E8EB6" w:rsidR="00B8055D" w:rsidRPr="00E33B17" w:rsidRDefault="00B8055D">
      <w:pPr>
        <w:pStyle w:val="ListParagraph"/>
        <w:numPr>
          <w:ilvl w:val="2"/>
          <w:numId w:val="20"/>
        </w:numPr>
        <w:spacing w:before="120" w:after="120"/>
      </w:pPr>
      <w:r w:rsidRPr="00E33B17">
        <w:t>Denominator: The number of children authorized in a FLOC or LOC–Y for the full month.</w:t>
      </w:r>
    </w:p>
    <w:p w14:paraId="59EFCCD7" w14:textId="77777777" w:rsidR="00B8055D" w:rsidRPr="00E33B17" w:rsidRDefault="00B8055D">
      <w:pPr>
        <w:pStyle w:val="ListParagraph"/>
        <w:numPr>
          <w:ilvl w:val="2"/>
          <w:numId w:val="20"/>
        </w:numPr>
        <w:spacing w:before="120" w:after="120"/>
      </w:pPr>
      <w:r w:rsidRPr="00E33B17">
        <w:t>Exclusion(s)/Exception(s):</w:t>
      </w:r>
    </w:p>
    <w:p w14:paraId="5F922EC4" w14:textId="5F19E4BF" w:rsidR="00B8055D" w:rsidRPr="00E33B17" w:rsidRDefault="000D700E">
      <w:pPr>
        <w:pStyle w:val="ListParagraph"/>
        <w:numPr>
          <w:ilvl w:val="3"/>
          <w:numId w:val="20"/>
        </w:numPr>
        <w:spacing w:before="120" w:after="120"/>
      </w:pPr>
      <w:r w:rsidRPr="00E33B17">
        <w:t xml:space="preserve">Encounters with </w:t>
      </w:r>
      <w:r w:rsidR="00B8055D" w:rsidRPr="00E33B17">
        <w:t xml:space="preserve">GJ modifiers and </w:t>
      </w:r>
      <w:r w:rsidRPr="00E33B17">
        <w:t>hotline calls</w:t>
      </w:r>
      <w:r w:rsidR="00B8055D" w:rsidRPr="00E33B17">
        <w:t>;</w:t>
      </w:r>
    </w:p>
    <w:p w14:paraId="06190D2B" w14:textId="77777777" w:rsidR="00B8055D" w:rsidRPr="00E33B17" w:rsidRDefault="00B8055D">
      <w:pPr>
        <w:pStyle w:val="ListParagraph"/>
        <w:numPr>
          <w:ilvl w:val="3"/>
          <w:numId w:val="20"/>
        </w:numPr>
        <w:spacing w:before="120" w:after="120"/>
      </w:pPr>
      <w:r w:rsidRPr="00E33B17">
        <w:t>Partially authorized months and their associated hours;</w:t>
      </w:r>
    </w:p>
    <w:p w14:paraId="0A1AD6AF" w14:textId="77777777" w:rsidR="00B8055D" w:rsidRPr="00E33B17" w:rsidRDefault="00B8055D">
      <w:pPr>
        <w:pStyle w:val="ListParagraph"/>
        <w:numPr>
          <w:ilvl w:val="3"/>
          <w:numId w:val="20"/>
        </w:numPr>
        <w:spacing w:before="120" w:after="120"/>
      </w:pPr>
      <w:r w:rsidRPr="00E33B17">
        <w:t xml:space="preserve">Client months with a change in LOC–A; and </w:t>
      </w:r>
    </w:p>
    <w:p w14:paraId="42AAA38F" w14:textId="0DE77CF7" w:rsidR="00B8055D" w:rsidRPr="00E33B17" w:rsidRDefault="00B8055D">
      <w:pPr>
        <w:pStyle w:val="ListParagraph"/>
        <w:numPr>
          <w:ilvl w:val="3"/>
          <w:numId w:val="20"/>
        </w:numPr>
        <w:spacing w:before="120" w:after="120"/>
      </w:pPr>
      <w:r w:rsidRPr="00E33B17">
        <w:t xml:space="preserve">Children on extended review. </w:t>
      </w:r>
    </w:p>
    <w:p w14:paraId="7BD44224" w14:textId="5293ADA3" w:rsidR="00B8055D" w:rsidRDefault="00B8055D">
      <w:pPr>
        <w:pStyle w:val="ListParagraph"/>
        <w:numPr>
          <w:ilvl w:val="2"/>
          <w:numId w:val="20"/>
        </w:numPr>
        <w:spacing w:before="120" w:after="120"/>
      </w:pPr>
      <w:r w:rsidRPr="00E33B17">
        <w:t>Data Source</w:t>
      </w:r>
      <w:r w:rsidR="0068270A">
        <w:t xml:space="preserve">: </w:t>
      </w:r>
      <w:r w:rsidRPr="00E33B17">
        <w:t>CMBHS and MBOW.</w:t>
      </w:r>
    </w:p>
    <w:p w14:paraId="59DD2DC8" w14:textId="77777777" w:rsidR="004E797A" w:rsidRPr="004A7429" w:rsidRDefault="004E797A" w:rsidP="00C72DF1"/>
    <w:p w14:paraId="45984256" w14:textId="77777777" w:rsidR="008D59F2" w:rsidRPr="004A7429" w:rsidRDefault="00883E35">
      <w:pPr>
        <w:pStyle w:val="Heading2"/>
      </w:pPr>
      <w:bookmarkStart w:id="140" w:name="_Toc134117579"/>
      <w:bookmarkStart w:id="141" w:name="_Toc134117580"/>
      <w:bookmarkEnd w:id="140"/>
      <w:r w:rsidRPr="004A7429">
        <w:lastRenderedPageBreak/>
        <w:t>Juvenile</w:t>
      </w:r>
      <w:r w:rsidR="008D59F2" w:rsidRPr="004A7429">
        <w:t xml:space="preserve"> Justice Avoidance</w:t>
      </w:r>
      <w:bookmarkEnd w:id="141"/>
    </w:p>
    <w:p w14:paraId="7D35B607" w14:textId="514B42BB" w:rsidR="008D59F2" w:rsidRPr="00E33B17" w:rsidRDefault="008D59F2">
      <w:pPr>
        <w:pStyle w:val="ListParagraph"/>
        <w:numPr>
          <w:ilvl w:val="2"/>
          <w:numId w:val="21"/>
        </w:numPr>
        <w:spacing w:before="120" w:after="120"/>
      </w:pPr>
      <w:r w:rsidRPr="00E33B17">
        <w:t xml:space="preserve">Target: </w:t>
      </w:r>
      <w:r w:rsidR="00883E35" w:rsidRPr="00E33B17">
        <w:t>At least 95.0% of childre</w:t>
      </w:r>
      <w:r w:rsidR="009B1EB7" w:rsidRPr="00E33B17">
        <w:t>n</w:t>
      </w:r>
      <w:r w:rsidR="00883E35" w:rsidRPr="00E33B17">
        <w:t xml:space="preserve"> </w:t>
      </w:r>
      <w:r w:rsidR="00E104EE" w:rsidRPr="00E33B17">
        <w:t>authorized</w:t>
      </w:r>
      <w:r w:rsidR="00883E35" w:rsidRPr="00E33B17">
        <w:t xml:space="preserve"> in a FLOC </w:t>
      </w:r>
      <w:r w:rsidR="00A729D9" w:rsidRPr="00E33B17">
        <w:t>shall</w:t>
      </w:r>
      <w:r w:rsidR="00883E35" w:rsidRPr="00E33B17">
        <w:t xml:space="preserve"> </w:t>
      </w:r>
      <w:r w:rsidR="00A729D9" w:rsidRPr="00E33B17">
        <w:t>have</w:t>
      </w:r>
      <w:r w:rsidR="00883E35" w:rsidRPr="00E33B17">
        <w:t xml:space="preserve"> no arrests (acceptable) or a reduction of arrests (improving) from time of first assessment to time of last assessment</w:t>
      </w:r>
      <w:r w:rsidRPr="00E33B17">
        <w:t>.</w:t>
      </w:r>
    </w:p>
    <w:p w14:paraId="1095341D" w14:textId="1531EE85" w:rsidR="008D59F2" w:rsidRPr="00E33B17" w:rsidRDefault="008D59F2">
      <w:pPr>
        <w:pStyle w:val="ListParagraph"/>
        <w:numPr>
          <w:ilvl w:val="2"/>
          <w:numId w:val="21"/>
        </w:numPr>
        <w:spacing w:before="120" w:after="120"/>
      </w:pPr>
      <w:r w:rsidRPr="00E33B17">
        <w:t>Calculation: (Numerator/Denominator</w:t>
      </w:r>
      <w:r w:rsidR="00C72DF1">
        <w:t xml:space="preserve">) * </w:t>
      </w:r>
      <w:r w:rsidRPr="00E33B17">
        <w:t>100</w:t>
      </w:r>
    </w:p>
    <w:p w14:paraId="46FD02E5" w14:textId="77777777" w:rsidR="008D59F2" w:rsidRPr="00E33B17" w:rsidRDefault="008D59F2">
      <w:pPr>
        <w:pStyle w:val="ListParagraph"/>
        <w:numPr>
          <w:ilvl w:val="2"/>
          <w:numId w:val="21"/>
        </w:numPr>
        <w:spacing w:before="120" w:after="120"/>
      </w:pPr>
      <w:r w:rsidRPr="00E33B17">
        <w:t xml:space="preserve">Numerator: </w:t>
      </w:r>
      <w:r w:rsidR="00A729D9" w:rsidRPr="00E33B17">
        <w:t>The number whose latest number of arrests is 0 and whose previous number of arrests is 0</w:t>
      </w:r>
      <w:r w:rsidR="00BD0603" w:rsidRPr="00E33B17">
        <w:t xml:space="preserve">, </w:t>
      </w:r>
      <w:r w:rsidR="00125696" w:rsidRPr="00E33B17">
        <w:t>OR</w:t>
      </w:r>
      <w:r w:rsidR="00BD0603" w:rsidRPr="00E33B17">
        <w:t xml:space="preserve"> whose latest number of arrests rating is less than their previous number of arrests rating.</w:t>
      </w:r>
    </w:p>
    <w:p w14:paraId="7364D42B" w14:textId="242C28EA" w:rsidR="008D59F2" w:rsidRPr="00E33B17" w:rsidRDefault="008D59F2">
      <w:pPr>
        <w:pStyle w:val="ListParagraph"/>
        <w:numPr>
          <w:ilvl w:val="2"/>
          <w:numId w:val="21"/>
        </w:numPr>
        <w:spacing w:before="120" w:after="120"/>
      </w:pPr>
      <w:r w:rsidRPr="00E33B17">
        <w:t xml:space="preserve">Denominator: </w:t>
      </w:r>
      <w:r w:rsidR="00D913DD" w:rsidRPr="00E33B17">
        <w:t xml:space="preserve">The number of </w:t>
      </w:r>
      <w:r w:rsidR="00B602E2" w:rsidRPr="00E33B17">
        <w:t>children recommended and authorized for a FLOC</w:t>
      </w:r>
      <w:r w:rsidR="00A47F0B" w:rsidRPr="00E33B17">
        <w:t xml:space="preserve"> with first and last assessments</w:t>
      </w:r>
      <w:r w:rsidR="00D913DD" w:rsidRPr="00E33B17">
        <w:t xml:space="preserve"> that include number of arrest ratings</w:t>
      </w:r>
      <w:r w:rsidR="00A47F0B" w:rsidRPr="00E33B17">
        <w:t xml:space="preserve"> </w:t>
      </w:r>
      <w:r w:rsidR="00FD7A12" w:rsidRPr="00E33B17">
        <w:t xml:space="preserve">and are </w:t>
      </w:r>
      <w:r w:rsidR="00A47F0B" w:rsidRPr="00E33B17">
        <w:t>at least 75 days apart</w:t>
      </w:r>
      <w:r w:rsidRPr="00E33B17">
        <w:t>.</w:t>
      </w:r>
    </w:p>
    <w:p w14:paraId="7E2C72AC" w14:textId="37982E1F" w:rsidR="008D59F2" w:rsidRPr="00E33B17" w:rsidRDefault="008D59F2">
      <w:pPr>
        <w:pStyle w:val="ListParagraph"/>
        <w:numPr>
          <w:ilvl w:val="2"/>
          <w:numId w:val="21"/>
        </w:numPr>
        <w:spacing w:before="120" w:after="120"/>
      </w:pPr>
      <w:r w:rsidRPr="00E33B17">
        <w:t xml:space="preserve">Exclusion(s)/Exception(s): </w:t>
      </w:r>
      <w:r w:rsidR="004E797A">
        <w:t>N/A</w:t>
      </w:r>
    </w:p>
    <w:p w14:paraId="299C5715" w14:textId="57CECD4F" w:rsidR="008D59F2" w:rsidRDefault="008D59F2">
      <w:pPr>
        <w:pStyle w:val="ListParagraph"/>
        <w:numPr>
          <w:ilvl w:val="2"/>
          <w:numId w:val="21"/>
        </w:numPr>
        <w:spacing w:before="120" w:after="120"/>
      </w:pPr>
      <w:r w:rsidRPr="00E33B17">
        <w:t>Data Source</w:t>
      </w:r>
      <w:r w:rsidR="0068270A">
        <w:t xml:space="preserve">: </w:t>
      </w:r>
      <w:r w:rsidRPr="00E33B17">
        <w:t>CMBHS and MBOW.</w:t>
      </w:r>
    </w:p>
    <w:p w14:paraId="53A31428" w14:textId="77777777" w:rsidR="004E797A" w:rsidRPr="00E33B17" w:rsidRDefault="004E797A" w:rsidP="00C72DF1">
      <w:pPr>
        <w:spacing w:before="120" w:after="120"/>
      </w:pPr>
    </w:p>
    <w:p w14:paraId="58ADF458" w14:textId="33A74556" w:rsidR="00933546" w:rsidRPr="004A7429" w:rsidRDefault="00933546">
      <w:pPr>
        <w:pStyle w:val="Heading2"/>
      </w:pPr>
      <w:bookmarkStart w:id="142" w:name="_Toc134117581"/>
      <w:bookmarkStart w:id="143" w:name="_Toc134117582"/>
      <w:bookmarkEnd w:id="142"/>
      <w:r w:rsidRPr="004A7429">
        <w:t>Family Partner Response</w:t>
      </w:r>
      <w:bookmarkEnd w:id="143"/>
    </w:p>
    <w:p w14:paraId="2483BD78" w14:textId="2FBC99FB" w:rsidR="00933546" w:rsidRPr="00E33B17" w:rsidRDefault="00933546">
      <w:pPr>
        <w:pStyle w:val="ListParagraph"/>
        <w:numPr>
          <w:ilvl w:val="2"/>
          <w:numId w:val="22"/>
        </w:numPr>
        <w:spacing w:before="120" w:after="120"/>
      </w:pPr>
      <w:r w:rsidRPr="00E33B17">
        <w:t xml:space="preserve">Target: </w:t>
      </w:r>
      <w:r w:rsidR="00367778" w:rsidRPr="00E33B17">
        <w:t>At least 65.2%</w:t>
      </w:r>
      <w:r w:rsidRPr="00E33B17">
        <w:t xml:space="preserve"> of children authorized in a FLOC receiving any Family Partner Support Services who have acceptable or improved functioning in one or more of the following CANS Caregivers Needs domain items: Family Stress, Involvement with Care, and Knowledge. </w:t>
      </w:r>
    </w:p>
    <w:p w14:paraId="6D0874D7" w14:textId="56A3700B" w:rsidR="00933546" w:rsidRPr="00E33B17" w:rsidRDefault="00933546">
      <w:pPr>
        <w:pStyle w:val="ListParagraph"/>
        <w:numPr>
          <w:ilvl w:val="2"/>
          <w:numId w:val="22"/>
        </w:numPr>
        <w:spacing w:before="120" w:after="120"/>
      </w:pPr>
      <w:r w:rsidRPr="00E33B17">
        <w:t>Calculation: (Numerator/Denominator</w:t>
      </w:r>
      <w:r w:rsidR="00C72DF1">
        <w:t xml:space="preserve">) * </w:t>
      </w:r>
      <w:r w:rsidRPr="00E33B17">
        <w:t>100</w:t>
      </w:r>
    </w:p>
    <w:p w14:paraId="42E5642E" w14:textId="423684F5" w:rsidR="00933421" w:rsidRPr="00E33B17" w:rsidRDefault="00933546">
      <w:pPr>
        <w:pStyle w:val="ListParagraph"/>
        <w:numPr>
          <w:ilvl w:val="2"/>
          <w:numId w:val="22"/>
        </w:numPr>
        <w:spacing w:before="120" w:after="120"/>
      </w:pPr>
      <w:r w:rsidRPr="00E33B17">
        <w:t>Numerator: The number whose score in any one of the identified CANS items meets or exceeds the RCI in the direction of improvement OR who score 0,1 on any one of these three items on the last active UA.</w:t>
      </w:r>
    </w:p>
    <w:p w14:paraId="1373D32D" w14:textId="0D29C2AA" w:rsidR="00933546" w:rsidRPr="00E33B17" w:rsidRDefault="00933546">
      <w:pPr>
        <w:pStyle w:val="ListParagraph"/>
        <w:numPr>
          <w:ilvl w:val="2"/>
          <w:numId w:val="22"/>
        </w:numPr>
        <w:spacing w:before="120" w:after="120"/>
      </w:pPr>
      <w:r w:rsidRPr="00E33B17">
        <w:t>Denominator: The number of children authorized in a FLOC with a first and last UA at least 75 days apart and at least one family partner service encounter. Receipt of a Family Support Service is defined by any of the procedures codes for this service: [Engagement (H0025HATS), Family Partner (H0038HA) and Parent Support Group (H0025HAHQ).</w:t>
      </w:r>
    </w:p>
    <w:p w14:paraId="5D7911A1" w14:textId="0C99A3F8" w:rsidR="00933546" w:rsidRPr="00E33B17" w:rsidRDefault="00933546">
      <w:pPr>
        <w:pStyle w:val="ListParagraph"/>
        <w:numPr>
          <w:ilvl w:val="2"/>
          <w:numId w:val="22"/>
        </w:numPr>
        <w:spacing w:before="120" w:after="120"/>
      </w:pPr>
      <w:r w:rsidRPr="00E33B17">
        <w:t xml:space="preserve">Exclusion(s)/Exception(s): If </w:t>
      </w:r>
      <w:r w:rsidR="00B235DF">
        <w:t>Grantee</w:t>
      </w:r>
      <w:r w:rsidRPr="00E33B17">
        <w:t xml:space="preserve"> provides no Family Partner Services during the measurement period (denominator = 0), the target is not met.</w:t>
      </w:r>
    </w:p>
    <w:p w14:paraId="670E0855" w14:textId="53BAE30D" w:rsidR="00273447" w:rsidRDefault="00933546">
      <w:pPr>
        <w:pStyle w:val="ListParagraph"/>
        <w:numPr>
          <w:ilvl w:val="2"/>
          <w:numId w:val="22"/>
        </w:numPr>
        <w:spacing w:before="120" w:after="120"/>
      </w:pPr>
      <w:r w:rsidRPr="00E33B17">
        <w:t>Data Source: CMBHS and MBOW.</w:t>
      </w:r>
    </w:p>
    <w:p w14:paraId="60697537" w14:textId="73A76FB8" w:rsidR="00E552F7" w:rsidRDefault="00E552F7">
      <w:pPr>
        <w:rPr>
          <w:b/>
          <w:bCs/>
        </w:rPr>
      </w:pPr>
    </w:p>
    <w:p w14:paraId="3397D9EF" w14:textId="4A7057F2" w:rsidR="00D2557F" w:rsidRPr="004A7429" w:rsidRDefault="00D2557F">
      <w:pPr>
        <w:pStyle w:val="Heading2"/>
      </w:pPr>
      <w:bookmarkStart w:id="144" w:name="_Toc134117583"/>
      <w:bookmarkStart w:id="145" w:name="_Toc134117584"/>
      <w:bookmarkStart w:id="146" w:name="_Toc134117585"/>
      <w:bookmarkStart w:id="147" w:name="_Toc134117586"/>
      <w:bookmarkStart w:id="148" w:name="_Toc134117587"/>
      <w:bookmarkStart w:id="149" w:name="_Toc134117588"/>
      <w:bookmarkStart w:id="150" w:name="_Toc134117589"/>
      <w:bookmarkStart w:id="151" w:name="_Toc134117590"/>
      <w:bookmarkStart w:id="152" w:name="_Toc134117591"/>
      <w:bookmarkStart w:id="153" w:name="_Toc134117592"/>
      <w:bookmarkStart w:id="154" w:name="_Toc134117593"/>
      <w:bookmarkEnd w:id="144"/>
      <w:bookmarkEnd w:id="145"/>
      <w:bookmarkEnd w:id="146"/>
      <w:bookmarkEnd w:id="147"/>
      <w:bookmarkEnd w:id="148"/>
      <w:bookmarkEnd w:id="149"/>
      <w:bookmarkEnd w:id="150"/>
      <w:bookmarkEnd w:id="151"/>
      <w:bookmarkEnd w:id="152"/>
      <w:bookmarkEnd w:id="153"/>
      <w:r w:rsidRPr="004A7429">
        <w:lastRenderedPageBreak/>
        <w:t xml:space="preserve">Family </w:t>
      </w:r>
      <w:r w:rsidR="009B2E44" w:rsidRPr="004A7429">
        <w:t>and Living Situation</w:t>
      </w:r>
      <w:bookmarkEnd w:id="154"/>
    </w:p>
    <w:p w14:paraId="63906FC7" w14:textId="072F135F" w:rsidR="0088075F" w:rsidRPr="00E33B17" w:rsidRDefault="0088075F">
      <w:pPr>
        <w:pStyle w:val="ListParagraph"/>
        <w:numPr>
          <w:ilvl w:val="2"/>
          <w:numId w:val="23"/>
        </w:numPr>
        <w:spacing w:before="120" w:after="120"/>
      </w:pPr>
      <w:r w:rsidRPr="00E33B17">
        <w:t xml:space="preserve">Target: </w:t>
      </w:r>
      <w:r w:rsidR="00A5698D" w:rsidRPr="00E33B17">
        <w:t>At least 67.5</w:t>
      </w:r>
      <w:r w:rsidR="00D2734D" w:rsidRPr="00E33B17">
        <w:t xml:space="preserve">% </w:t>
      </w:r>
      <w:r w:rsidR="00D2557F" w:rsidRPr="00E33B17">
        <w:t xml:space="preserve">of children authorized </w:t>
      </w:r>
      <w:r w:rsidR="00A5698D" w:rsidRPr="00E33B17">
        <w:t xml:space="preserve">in a FLOC </w:t>
      </w:r>
      <w:r w:rsidR="00D2557F" w:rsidRPr="00E33B17">
        <w:t xml:space="preserve">shall </w:t>
      </w:r>
      <w:r w:rsidR="00A5698D" w:rsidRPr="00E33B17">
        <w:t>have acceptable or improved family and living situations</w:t>
      </w:r>
      <w:r w:rsidR="0078213E" w:rsidRPr="00E33B17">
        <w:t xml:space="preserve">. </w:t>
      </w:r>
    </w:p>
    <w:p w14:paraId="371D09D9" w14:textId="79816F19" w:rsidR="0088075F" w:rsidRPr="00E33B17" w:rsidRDefault="0088075F">
      <w:pPr>
        <w:pStyle w:val="ListParagraph"/>
        <w:numPr>
          <w:ilvl w:val="2"/>
          <w:numId w:val="23"/>
        </w:numPr>
        <w:spacing w:before="120" w:after="120"/>
      </w:pPr>
      <w:r w:rsidRPr="00E33B17">
        <w:t>Calculation: (Numerator/Denominator</w:t>
      </w:r>
      <w:r w:rsidR="00C72DF1">
        <w:t xml:space="preserve">) * </w:t>
      </w:r>
      <w:r w:rsidRPr="00E33B17">
        <w:t>100</w:t>
      </w:r>
    </w:p>
    <w:p w14:paraId="700F9A87" w14:textId="77777777" w:rsidR="0088075F" w:rsidRPr="00E33B17" w:rsidRDefault="0088075F">
      <w:pPr>
        <w:pStyle w:val="ListParagraph"/>
        <w:numPr>
          <w:ilvl w:val="2"/>
          <w:numId w:val="23"/>
        </w:numPr>
        <w:spacing w:before="120" w:after="120"/>
      </w:pPr>
      <w:r w:rsidRPr="00E33B17">
        <w:t xml:space="preserve">Numerator: </w:t>
      </w:r>
      <w:r w:rsidR="00EE321C" w:rsidRPr="00E33B17">
        <w:t xml:space="preserve">The number </w:t>
      </w:r>
      <w:r w:rsidR="000F0FE7" w:rsidRPr="00E33B17">
        <w:t>who meet or exceed the RCI benchmark in the direc</w:t>
      </w:r>
      <w:r w:rsidR="00657639" w:rsidRPr="00E33B17">
        <w:t xml:space="preserve">tion of improvement for the </w:t>
      </w:r>
      <w:r w:rsidR="000F0FE7" w:rsidRPr="00E33B17">
        <w:t xml:space="preserve">CANS Family and Living Situation items </w:t>
      </w:r>
      <w:r w:rsidR="00125696" w:rsidRPr="00E33B17">
        <w:t>OR</w:t>
      </w:r>
      <w:r w:rsidR="000F0FE7" w:rsidRPr="00E33B17">
        <w:t xml:space="preserve"> who have CANS Family and Living Situation item scores of 0,1 at both first and last</w:t>
      </w:r>
      <w:r w:rsidR="000569B5" w:rsidRPr="00E33B17">
        <w:t xml:space="preserve"> UAs</w:t>
      </w:r>
      <w:r w:rsidRPr="00E33B17">
        <w:t>.</w:t>
      </w:r>
    </w:p>
    <w:p w14:paraId="21A81EF0" w14:textId="5D655D3B" w:rsidR="0088075F" w:rsidRPr="00E33B17" w:rsidRDefault="0088075F">
      <w:pPr>
        <w:pStyle w:val="ListParagraph"/>
        <w:numPr>
          <w:ilvl w:val="2"/>
          <w:numId w:val="23"/>
        </w:numPr>
        <w:spacing w:before="120" w:after="120"/>
      </w:pPr>
      <w:r w:rsidRPr="00E33B17">
        <w:t xml:space="preserve">Denominator: </w:t>
      </w:r>
      <w:r w:rsidR="000569B5" w:rsidRPr="00E33B17">
        <w:t>The number of children authorized in a FLOC with first and last UAs at least 75 days apart</w:t>
      </w:r>
      <w:r w:rsidRPr="00E33B17">
        <w:t>.</w:t>
      </w:r>
    </w:p>
    <w:p w14:paraId="49B79442" w14:textId="75900ED6" w:rsidR="0088075F" w:rsidRPr="00E33B17" w:rsidRDefault="0088075F">
      <w:pPr>
        <w:pStyle w:val="ListParagraph"/>
        <w:numPr>
          <w:ilvl w:val="2"/>
          <w:numId w:val="23"/>
        </w:numPr>
        <w:spacing w:before="120" w:after="120"/>
      </w:pPr>
      <w:r w:rsidRPr="00E33B17">
        <w:t>Exclusion(s)/Exception(s)</w:t>
      </w:r>
      <w:r w:rsidR="00625814" w:rsidRPr="00E33B17">
        <w:t>: If the child does not have a family unit, the family item will be marked as not applicable. This item should only be evaluated for children with a score on both items.</w:t>
      </w:r>
    </w:p>
    <w:p w14:paraId="2ACC7F1B" w14:textId="00856D3C" w:rsidR="0088075F" w:rsidRDefault="0088075F">
      <w:pPr>
        <w:pStyle w:val="ListParagraph"/>
        <w:numPr>
          <w:ilvl w:val="2"/>
          <w:numId w:val="23"/>
        </w:numPr>
        <w:spacing w:before="120" w:after="120"/>
      </w:pPr>
      <w:r w:rsidRPr="00E33B17">
        <w:t>Data Source: CMBHS and MBOW.</w:t>
      </w:r>
    </w:p>
    <w:p w14:paraId="2F7FF362" w14:textId="77777777" w:rsidR="00E552F7" w:rsidRPr="00E33B17" w:rsidRDefault="00E552F7" w:rsidP="00C72DF1">
      <w:pPr>
        <w:spacing w:before="120" w:after="120"/>
      </w:pPr>
    </w:p>
    <w:p w14:paraId="0234E8A8" w14:textId="430E073A" w:rsidR="0088075F" w:rsidRPr="004A7429" w:rsidRDefault="0088075F">
      <w:pPr>
        <w:pStyle w:val="Heading2"/>
      </w:pPr>
      <w:bookmarkStart w:id="155" w:name="_Toc134117594"/>
      <w:r w:rsidRPr="004A7429">
        <w:t>TANF Transfer to Title XX Services</w:t>
      </w:r>
      <w:bookmarkEnd w:id="155"/>
    </w:p>
    <w:p w14:paraId="42CE3133" w14:textId="19BC5943" w:rsidR="0088075F" w:rsidRPr="00E33B17" w:rsidRDefault="0088075F">
      <w:pPr>
        <w:pStyle w:val="ListParagraph"/>
        <w:numPr>
          <w:ilvl w:val="2"/>
          <w:numId w:val="24"/>
        </w:numPr>
        <w:spacing w:before="120" w:after="120"/>
      </w:pPr>
      <w:r w:rsidRPr="00E33B17">
        <w:t xml:space="preserve">Target: </w:t>
      </w:r>
      <w:r w:rsidR="00B235DF">
        <w:t>Grantee</w:t>
      </w:r>
      <w:r w:rsidRPr="00E33B17">
        <w:t xml:space="preserve"> shall meet the minimum annual service target levels for TANF Transfer to Title XX and Base Title XX services as outlined in the table below. Services are defined as those provided within the contract guidelines as outlined in Section 1.</w:t>
      </w:r>
      <w:r w:rsidR="00016EDD" w:rsidRPr="00E33B17">
        <w:t>C</w:t>
      </w:r>
      <w:r w:rsidRPr="00E33B17">
        <w:t xml:space="preserve">. of the Performance Contract Notebook. Targets were developed using the dollar amount allocated for each center divided </w:t>
      </w:r>
      <w:r w:rsidR="00CA4A59" w:rsidRPr="00E33B17">
        <w:t xml:space="preserve">by </w:t>
      </w:r>
      <w:r w:rsidRPr="00E33B17">
        <w:t>the estimated cost per person ($</w:t>
      </w:r>
      <w:r w:rsidR="00CA4A59" w:rsidRPr="00E33B17">
        <w:t>4,670</w:t>
      </w:r>
      <w:r w:rsidRPr="00E33B17">
        <w:t>) for intensive services.</w:t>
      </w:r>
    </w:p>
    <w:p w14:paraId="7B4245E5" w14:textId="69B9173C" w:rsidR="0088075F" w:rsidRPr="00E33B17" w:rsidRDefault="0088075F">
      <w:pPr>
        <w:pStyle w:val="ListParagraph"/>
        <w:numPr>
          <w:ilvl w:val="2"/>
          <w:numId w:val="24"/>
        </w:numPr>
        <w:spacing w:before="120" w:after="120"/>
      </w:pPr>
      <w:r w:rsidRPr="00E33B17">
        <w:t>Calculation</w:t>
      </w:r>
      <w:r w:rsidR="0068270A">
        <w:t xml:space="preserve">: </w:t>
      </w:r>
      <w:r w:rsidRPr="00E33B17">
        <w:t>Unique count of clients served with TANF Transfer to Title XX and Base Title XX funds.</w:t>
      </w:r>
    </w:p>
    <w:p w14:paraId="38806744" w14:textId="7CBD5177" w:rsidR="0088075F" w:rsidRPr="00E33B17" w:rsidRDefault="0088075F">
      <w:pPr>
        <w:pStyle w:val="ListParagraph"/>
        <w:numPr>
          <w:ilvl w:val="2"/>
          <w:numId w:val="24"/>
        </w:numPr>
        <w:spacing w:before="120" w:after="120"/>
      </w:pPr>
      <w:r w:rsidRPr="00E33B17">
        <w:t>Exclusion(s)/Exception(s): N/A</w:t>
      </w:r>
    </w:p>
    <w:p w14:paraId="5D824211" w14:textId="7B2E8197" w:rsidR="0088075F" w:rsidRPr="00E33B17" w:rsidRDefault="0088075F">
      <w:pPr>
        <w:pStyle w:val="ListParagraph"/>
        <w:numPr>
          <w:ilvl w:val="2"/>
          <w:numId w:val="24"/>
        </w:numPr>
        <w:spacing w:before="120" w:after="120"/>
      </w:pPr>
      <w:r w:rsidRPr="00E33B17">
        <w:t>Data Source</w:t>
      </w:r>
      <w:r w:rsidR="0068270A">
        <w:t xml:space="preserve">: </w:t>
      </w:r>
      <w:r w:rsidRPr="00E33B17">
        <w:t>Form L—Total unduplicated count of persons served annually across both funding streams.</w:t>
      </w:r>
    </w:p>
    <w:tbl>
      <w:tblPr>
        <w:tblW w:w="6030" w:type="dxa"/>
        <w:jc w:val="center"/>
        <w:tblCellMar>
          <w:left w:w="0" w:type="dxa"/>
          <w:right w:w="0" w:type="dxa"/>
        </w:tblCellMar>
        <w:tblLook w:val="04A0" w:firstRow="1" w:lastRow="0" w:firstColumn="1" w:lastColumn="0" w:noHBand="0" w:noVBand="1"/>
      </w:tblPr>
      <w:tblGrid>
        <w:gridCol w:w="4050"/>
        <w:gridCol w:w="1980"/>
      </w:tblGrid>
      <w:tr w:rsidR="0062782F" w:rsidRPr="00E33B17" w14:paraId="5C16356D" w14:textId="77777777" w:rsidTr="00215510">
        <w:trPr>
          <w:cantSplit/>
          <w:trHeight w:val="710"/>
          <w:jc w:val="center"/>
        </w:trPr>
        <w:tc>
          <w:tcPr>
            <w:tcW w:w="40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2D6CC0" w14:textId="77777777" w:rsidR="0062782F" w:rsidRPr="00E552F7" w:rsidRDefault="0062782F" w:rsidP="00E33B17">
            <w:pPr>
              <w:rPr>
                <w:b/>
                <w:bCs/>
              </w:rPr>
            </w:pPr>
            <w:r w:rsidRPr="00E552F7">
              <w:rPr>
                <w:b/>
                <w:bCs/>
              </w:rPr>
              <w:t>Center</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B1F525" w14:textId="422E6B2D" w:rsidR="0062782F" w:rsidRPr="00E552F7" w:rsidRDefault="00E552F7" w:rsidP="00E552F7">
            <w:pPr>
              <w:jc w:val="center"/>
              <w:rPr>
                <w:b/>
                <w:bCs/>
              </w:rPr>
            </w:pPr>
            <w:r w:rsidRPr="00CD39BB">
              <w:rPr>
                <w:b/>
                <w:bCs/>
              </w:rPr>
              <w:t>Fiscal Year Target</w:t>
            </w:r>
          </w:p>
        </w:tc>
      </w:tr>
      <w:tr w:rsidR="000415C9" w:rsidRPr="00E33B17" w14:paraId="698136CD"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0C7E26" w14:textId="77777777" w:rsidR="000415C9" w:rsidRPr="00E33B17" w:rsidRDefault="000415C9" w:rsidP="00E33B17">
            <w:r w:rsidRPr="00E33B17">
              <w:t>010 – BETTY HARDWICK</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095052B2" w14:textId="77777777" w:rsidR="000415C9" w:rsidRPr="00E33B17" w:rsidRDefault="000415C9" w:rsidP="00E552F7">
            <w:pPr>
              <w:jc w:val="center"/>
            </w:pPr>
            <w:r w:rsidRPr="00E33B17">
              <w:t>19</w:t>
            </w:r>
          </w:p>
        </w:tc>
      </w:tr>
      <w:tr w:rsidR="000415C9" w:rsidRPr="00E33B17" w14:paraId="67AC2092"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2042E5" w14:textId="77777777" w:rsidR="000415C9" w:rsidRPr="00E33B17" w:rsidRDefault="000415C9" w:rsidP="00E33B17">
            <w:r w:rsidRPr="00E33B17">
              <w:t>020 – PANHANDLE</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79B31EA9" w14:textId="77777777" w:rsidR="000415C9" w:rsidRPr="00E33B17" w:rsidRDefault="000415C9" w:rsidP="00E552F7">
            <w:pPr>
              <w:jc w:val="center"/>
            </w:pPr>
            <w:r w:rsidRPr="00E33B17">
              <w:t>42</w:t>
            </w:r>
          </w:p>
        </w:tc>
      </w:tr>
      <w:tr w:rsidR="000415C9" w:rsidRPr="00E33B17" w14:paraId="2F5AA9C2"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6A5F86" w14:textId="77777777" w:rsidR="000415C9" w:rsidRPr="00E33B17" w:rsidRDefault="000415C9" w:rsidP="00E33B17">
            <w:r w:rsidRPr="00E33B17">
              <w:t>030 – ATCIC</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78DF7364" w14:textId="77777777" w:rsidR="000415C9" w:rsidRPr="00E33B17" w:rsidRDefault="000415C9" w:rsidP="00E552F7">
            <w:pPr>
              <w:jc w:val="center"/>
            </w:pPr>
            <w:r w:rsidRPr="00E33B17">
              <w:t>99</w:t>
            </w:r>
          </w:p>
        </w:tc>
      </w:tr>
      <w:tr w:rsidR="000415C9" w:rsidRPr="00E33B17" w14:paraId="3487F165"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2F36A4" w14:textId="77777777" w:rsidR="000415C9" w:rsidRPr="00E33B17" w:rsidRDefault="000415C9" w:rsidP="00E33B17">
            <w:r w:rsidRPr="00E33B17">
              <w:t>040 – CENTRAL COUNTIES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62501023" w14:textId="77777777" w:rsidR="000415C9" w:rsidRPr="00E33B17" w:rsidRDefault="000415C9" w:rsidP="00E552F7">
            <w:pPr>
              <w:jc w:val="center"/>
            </w:pPr>
            <w:r w:rsidRPr="00E33B17">
              <w:t>39</w:t>
            </w:r>
          </w:p>
        </w:tc>
      </w:tr>
      <w:tr w:rsidR="000415C9" w:rsidRPr="00E33B17" w14:paraId="64BAAE4C"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E4491FF" w14:textId="77777777" w:rsidR="000415C9" w:rsidRPr="00E33B17" w:rsidRDefault="000415C9" w:rsidP="00E33B17">
            <w:r w:rsidRPr="00E33B17">
              <w:t>050 – CHCS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07A1C978" w14:textId="77777777" w:rsidR="000415C9" w:rsidRPr="00E33B17" w:rsidRDefault="000415C9" w:rsidP="00E552F7">
            <w:pPr>
              <w:jc w:val="center"/>
            </w:pPr>
            <w:r w:rsidRPr="00E33B17">
              <w:t>70</w:t>
            </w:r>
          </w:p>
        </w:tc>
      </w:tr>
      <w:tr w:rsidR="000415C9" w:rsidRPr="00E33B17" w14:paraId="6F62B056"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BD922B" w14:textId="77777777" w:rsidR="000415C9" w:rsidRPr="00E33B17" w:rsidRDefault="000415C9" w:rsidP="00E33B17">
            <w:r w:rsidRPr="00E33B17">
              <w:lastRenderedPageBreak/>
              <w:t>060 – CLR</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4B9D5F6D" w14:textId="77777777" w:rsidR="000415C9" w:rsidRPr="00E33B17" w:rsidRDefault="000415C9" w:rsidP="00E552F7">
            <w:pPr>
              <w:jc w:val="center"/>
            </w:pPr>
            <w:r w:rsidRPr="00E33B17">
              <w:t>16</w:t>
            </w:r>
          </w:p>
        </w:tc>
      </w:tr>
      <w:tr w:rsidR="000415C9" w:rsidRPr="00E33B17" w14:paraId="147F31DB"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13C7FB" w14:textId="77777777" w:rsidR="000415C9" w:rsidRPr="00E33B17" w:rsidRDefault="000415C9" w:rsidP="00E33B17">
            <w:r w:rsidRPr="00E33B17">
              <w:t>070 – CENTRAL PLAINS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69EBC205" w14:textId="77777777" w:rsidR="000415C9" w:rsidRPr="00E33B17" w:rsidRDefault="000415C9" w:rsidP="00E552F7">
            <w:pPr>
              <w:jc w:val="center"/>
            </w:pPr>
            <w:r w:rsidRPr="00E33B17">
              <w:t>15</w:t>
            </w:r>
          </w:p>
        </w:tc>
      </w:tr>
      <w:tr w:rsidR="000415C9" w:rsidRPr="00E33B17" w14:paraId="489E1F99"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EA85195" w14:textId="77777777" w:rsidR="000415C9" w:rsidRPr="00E33B17" w:rsidRDefault="000415C9" w:rsidP="00E33B17">
            <w:r w:rsidRPr="00E33B17">
              <w:t>086 – NTBHA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tcPr>
          <w:p w14:paraId="4A4EB5B8" w14:textId="77777777" w:rsidR="000415C9" w:rsidRPr="00E33B17" w:rsidRDefault="000415C9" w:rsidP="00E552F7">
            <w:pPr>
              <w:jc w:val="center"/>
            </w:pPr>
            <w:r w:rsidRPr="00E33B17">
              <w:t>199</w:t>
            </w:r>
          </w:p>
        </w:tc>
      </w:tr>
      <w:tr w:rsidR="000415C9" w:rsidRPr="00E33B17" w14:paraId="4426F1F9"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52EFC8E" w14:textId="77777777" w:rsidR="000415C9" w:rsidRPr="00E33B17" w:rsidRDefault="000415C9" w:rsidP="00E33B17">
            <w:r w:rsidRPr="00E33B17">
              <w:t>090 – EL PASO</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269BDAD5" w14:textId="77777777" w:rsidR="000415C9" w:rsidRPr="00E33B17" w:rsidRDefault="000415C9" w:rsidP="00E552F7">
            <w:pPr>
              <w:jc w:val="center"/>
            </w:pPr>
            <w:r w:rsidRPr="00E33B17">
              <w:t>37</w:t>
            </w:r>
          </w:p>
        </w:tc>
      </w:tr>
      <w:tr w:rsidR="000415C9" w:rsidRPr="00E33B17" w14:paraId="185DE181"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1DBA12" w14:textId="77777777" w:rsidR="000415C9" w:rsidRPr="00E33B17" w:rsidRDefault="000415C9" w:rsidP="00E33B17">
            <w:r w:rsidRPr="00E33B17">
              <w:t>100 – GULF COAST</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00780B80" w14:textId="77777777" w:rsidR="000415C9" w:rsidRPr="00E33B17" w:rsidRDefault="000415C9" w:rsidP="00E552F7">
            <w:pPr>
              <w:jc w:val="center"/>
            </w:pPr>
            <w:r w:rsidRPr="00E33B17">
              <w:t>35</w:t>
            </w:r>
          </w:p>
        </w:tc>
      </w:tr>
      <w:tr w:rsidR="000415C9" w:rsidRPr="00E33B17" w14:paraId="66A35E03"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A0C796" w14:textId="77777777" w:rsidR="000415C9" w:rsidRPr="00E33B17" w:rsidRDefault="000415C9" w:rsidP="00E33B17">
            <w:r w:rsidRPr="00E33B17">
              <w:t>110 – GULF BEND</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0715B3E7" w14:textId="77777777" w:rsidR="000415C9" w:rsidRPr="00E33B17" w:rsidRDefault="000415C9" w:rsidP="00E552F7">
            <w:pPr>
              <w:jc w:val="center"/>
            </w:pPr>
            <w:r w:rsidRPr="00E33B17">
              <w:t>17</w:t>
            </w:r>
          </w:p>
        </w:tc>
      </w:tr>
      <w:tr w:rsidR="000415C9" w:rsidRPr="00E33B17" w14:paraId="03075CC9"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5A82AA" w14:textId="77777777" w:rsidR="000415C9" w:rsidRPr="00E33B17" w:rsidRDefault="000415C9" w:rsidP="00E33B17">
            <w:r w:rsidRPr="00E33B17">
              <w:t xml:space="preserve">130 – TROPICAL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3F538AFA" w14:textId="77777777" w:rsidR="000415C9" w:rsidRPr="00E33B17" w:rsidRDefault="000415C9" w:rsidP="00E552F7">
            <w:pPr>
              <w:jc w:val="center"/>
            </w:pPr>
            <w:r w:rsidRPr="00E33B17">
              <w:t>123</w:t>
            </w:r>
          </w:p>
        </w:tc>
      </w:tr>
      <w:tr w:rsidR="000415C9" w:rsidRPr="00E33B17" w14:paraId="61261CB2"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7F34D4" w14:textId="77777777" w:rsidR="000415C9" w:rsidRPr="00E33B17" w:rsidRDefault="000415C9" w:rsidP="00E33B17">
            <w:r w:rsidRPr="00E33B17">
              <w:t>140 – SPINDLETOP</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471A907E" w14:textId="77777777" w:rsidR="000415C9" w:rsidRPr="00E33B17" w:rsidRDefault="000415C9" w:rsidP="00E552F7">
            <w:pPr>
              <w:jc w:val="center"/>
            </w:pPr>
            <w:r w:rsidRPr="00E33B17">
              <w:t>48</w:t>
            </w:r>
          </w:p>
        </w:tc>
      </w:tr>
      <w:tr w:rsidR="000415C9" w:rsidRPr="00E33B17" w14:paraId="535C8BE5"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E27BA39" w14:textId="77777777" w:rsidR="000415C9" w:rsidRPr="00E33B17" w:rsidRDefault="000415C9" w:rsidP="00E33B17">
            <w:r w:rsidRPr="00E33B17">
              <w:t>150 – STARCARE</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251FE337" w14:textId="77777777" w:rsidR="000415C9" w:rsidRPr="00E33B17" w:rsidRDefault="000415C9" w:rsidP="00E552F7">
            <w:pPr>
              <w:jc w:val="center"/>
            </w:pPr>
            <w:r w:rsidRPr="00E33B17">
              <w:t>25</w:t>
            </w:r>
          </w:p>
        </w:tc>
      </w:tr>
      <w:tr w:rsidR="000415C9" w:rsidRPr="00E33B17" w14:paraId="5505DDCB"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6FC502" w14:textId="77777777" w:rsidR="000415C9" w:rsidRPr="00E33B17" w:rsidRDefault="000415C9" w:rsidP="00E33B17">
            <w:r w:rsidRPr="00E33B17">
              <w:t>160 – CONCHO</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7AE59804" w14:textId="77777777" w:rsidR="000415C9" w:rsidRPr="00E33B17" w:rsidRDefault="000415C9" w:rsidP="00E552F7">
            <w:pPr>
              <w:jc w:val="center"/>
            </w:pPr>
            <w:r w:rsidRPr="00E33B17">
              <w:t>12</w:t>
            </w:r>
          </w:p>
        </w:tc>
      </w:tr>
      <w:tr w:rsidR="000415C9" w:rsidRPr="00E33B17" w14:paraId="3D1EBE9F"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1A96D3" w14:textId="77777777" w:rsidR="000415C9" w:rsidRPr="00E33B17" w:rsidRDefault="000415C9" w:rsidP="00E33B17">
            <w:r w:rsidRPr="00E33B17">
              <w:t>170 – PERMIAN BASIN</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601913F0" w14:textId="77777777" w:rsidR="000415C9" w:rsidRPr="00E33B17" w:rsidRDefault="000415C9" w:rsidP="00E552F7">
            <w:pPr>
              <w:jc w:val="center"/>
            </w:pPr>
            <w:r w:rsidRPr="00E33B17">
              <w:t>36</w:t>
            </w:r>
          </w:p>
        </w:tc>
      </w:tr>
      <w:tr w:rsidR="000415C9" w:rsidRPr="00E33B17" w14:paraId="2B8CDD95"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83AAD5" w14:textId="77777777" w:rsidR="000415C9" w:rsidRPr="00E33B17" w:rsidRDefault="000415C9" w:rsidP="00E33B17">
            <w:r w:rsidRPr="00E33B17">
              <w:t>180 – NUECES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593D9BBF" w14:textId="77777777" w:rsidR="000415C9" w:rsidRPr="00E33B17" w:rsidRDefault="000415C9" w:rsidP="00E552F7">
            <w:pPr>
              <w:jc w:val="center"/>
            </w:pPr>
            <w:r w:rsidRPr="00E33B17">
              <w:t>34</w:t>
            </w:r>
          </w:p>
        </w:tc>
      </w:tr>
      <w:tr w:rsidR="000415C9" w:rsidRPr="00E33B17" w14:paraId="181DBE86"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61D65E2" w14:textId="77777777" w:rsidR="000415C9" w:rsidRPr="00E33B17" w:rsidRDefault="000415C9" w:rsidP="00E33B17">
            <w:r w:rsidRPr="00E33B17">
              <w:t>190 – ANDREWS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40DA7741" w14:textId="77777777" w:rsidR="000415C9" w:rsidRPr="00E33B17" w:rsidRDefault="000415C9" w:rsidP="00E552F7">
            <w:pPr>
              <w:jc w:val="center"/>
            </w:pPr>
            <w:r w:rsidRPr="00E33B17">
              <w:t>39</w:t>
            </w:r>
          </w:p>
        </w:tc>
      </w:tr>
      <w:tr w:rsidR="000415C9" w:rsidRPr="00E33B17" w14:paraId="137DA1EF"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822E037" w14:textId="77777777" w:rsidR="000415C9" w:rsidRPr="00E33B17" w:rsidRDefault="000415C9" w:rsidP="00E33B17">
            <w:r w:rsidRPr="00E33B17">
              <w:t xml:space="preserve">200 – TARRANT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7D006708" w14:textId="77777777" w:rsidR="000415C9" w:rsidRPr="00E33B17" w:rsidRDefault="000415C9" w:rsidP="00E552F7">
            <w:pPr>
              <w:jc w:val="center"/>
            </w:pPr>
            <w:r w:rsidRPr="00E33B17">
              <w:t>108</w:t>
            </w:r>
          </w:p>
        </w:tc>
      </w:tr>
      <w:tr w:rsidR="000415C9" w:rsidRPr="00E33B17" w14:paraId="00FC0046"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5BA0366" w14:textId="77777777" w:rsidR="000415C9" w:rsidRPr="00E33B17" w:rsidRDefault="000415C9" w:rsidP="00E33B17">
            <w:r w:rsidRPr="00E33B17">
              <w:t>220 – HOT</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5C213506" w14:textId="77777777" w:rsidR="000415C9" w:rsidRPr="00E33B17" w:rsidRDefault="000415C9" w:rsidP="00E552F7">
            <w:pPr>
              <w:jc w:val="center"/>
            </w:pPr>
            <w:r w:rsidRPr="00E33B17">
              <w:t>25</w:t>
            </w:r>
          </w:p>
        </w:tc>
      </w:tr>
      <w:tr w:rsidR="000415C9" w:rsidRPr="00E33B17" w14:paraId="2E091223"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EA32FC8" w14:textId="77777777" w:rsidR="000415C9" w:rsidRPr="00E33B17" w:rsidRDefault="000415C9" w:rsidP="00E33B17">
            <w:r w:rsidRPr="00E33B17">
              <w:t>230 – HELEN FARABEE</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356CE7E5" w14:textId="77777777" w:rsidR="000415C9" w:rsidRPr="00E33B17" w:rsidRDefault="000415C9" w:rsidP="00E552F7">
            <w:pPr>
              <w:jc w:val="center"/>
            </w:pPr>
            <w:r w:rsidRPr="00E33B17">
              <w:t>37</w:t>
            </w:r>
          </w:p>
        </w:tc>
      </w:tr>
      <w:tr w:rsidR="000415C9" w:rsidRPr="00E33B17" w14:paraId="32A89F37"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09894E" w14:textId="77777777" w:rsidR="000415C9" w:rsidRPr="00E33B17" w:rsidRDefault="000415C9" w:rsidP="00E33B17">
            <w:r w:rsidRPr="00E33B17">
              <w:t>240 – HEALTHCORE</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61E53ED7" w14:textId="77777777" w:rsidR="000415C9" w:rsidRPr="00E33B17" w:rsidRDefault="000415C9" w:rsidP="00E552F7">
            <w:pPr>
              <w:jc w:val="center"/>
            </w:pPr>
            <w:r w:rsidRPr="00E33B17">
              <w:t>53</w:t>
            </w:r>
          </w:p>
        </w:tc>
      </w:tr>
      <w:tr w:rsidR="000415C9" w:rsidRPr="00E33B17" w14:paraId="5E8DA6FE"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F0C40B" w14:textId="77777777" w:rsidR="000415C9" w:rsidRPr="00E33B17" w:rsidRDefault="000415C9" w:rsidP="00E33B17">
            <w:r w:rsidRPr="00E33B17">
              <w:t>250 – BRAZOS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749DA346" w14:textId="77777777" w:rsidR="000415C9" w:rsidRPr="00E33B17" w:rsidRDefault="000415C9" w:rsidP="00E552F7">
            <w:pPr>
              <w:jc w:val="center"/>
            </w:pPr>
            <w:r w:rsidRPr="00E33B17">
              <w:t>14</w:t>
            </w:r>
          </w:p>
        </w:tc>
      </w:tr>
      <w:tr w:rsidR="000415C9" w:rsidRPr="00E33B17" w14:paraId="739BB7C0"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4C5422" w14:textId="77777777" w:rsidR="000415C9" w:rsidRPr="00E33B17" w:rsidRDefault="000415C9" w:rsidP="00E33B17">
            <w:r w:rsidRPr="00E33B17">
              <w:t>260 – BURKE</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3A4491D7" w14:textId="77777777" w:rsidR="000415C9" w:rsidRPr="00E33B17" w:rsidRDefault="000415C9" w:rsidP="00E552F7">
            <w:pPr>
              <w:jc w:val="center"/>
            </w:pPr>
            <w:r w:rsidRPr="00E33B17">
              <w:t>27</w:t>
            </w:r>
          </w:p>
        </w:tc>
      </w:tr>
      <w:tr w:rsidR="000415C9" w:rsidRPr="00E33B17" w14:paraId="4242B29A"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E52801" w14:textId="77777777" w:rsidR="000415C9" w:rsidRPr="00E33B17" w:rsidRDefault="000415C9" w:rsidP="00E33B17">
            <w:r w:rsidRPr="00E33B17">
              <w:t>280 – HARRIS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6D3C6D87" w14:textId="77777777" w:rsidR="000415C9" w:rsidRPr="00E33B17" w:rsidRDefault="000415C9" w:rsidP="00E552F7">
            <w:pPr>
              <w:jc w:val="center"/>
            </w:pPr>
            <w:r w:rsidRPr="00E33B17">
              <w:t>258</w:t>
            </w:r>
          </w:p>
        </w:tc>
      </w:tr>
      <w:tr w:rsidR="000415C9" w:rsidRPr="00E33B17" w14:paraId="4EEDC192"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CAA0C7" w14:textId="77777777" w:rsidR="000415C9" w:rsidRPr="00E33B17" w:rsidRDefault="000415C9" w:rsidP="00E33B17">
            <w:r w:rsidRPr="00E33B17">
              <w:t>290 – TEXOMA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5F86BC2C" w14:textId="77777777" w:rsidR="000415C9" w:rsidRPr="00E33B17" w:rsidRDefault="000415C9" w:rsidP="00E552F7">
            <w:pPr>
              <w:jc w:val="center"/>
            </w:pPr>
            <w:r w:rsidRPr="00E33B17">
              <w:t>11</w:t>
            </w:r>
          </w:p>
        </w:tc>
      </w:tr>
      <w:tr w:rsidR="000415C9" w:rsidRPr="00E33B17" w14:paraId="1AEF72DD"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27D2DC" w14:textId="77777777" w:rsidR="000415C9" w:rsidRPr="00E33B17" w:rsidRDefault="000415C9" w:rsidP="00E33B17">
            <w:r w:rsidRPr="00E33B17">
              <w:t>350 – PECAN VALLEY</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1CD10D14" w14:textId="77777777" w:rsidR="000415C9" w:rsidRPr="00E33B17" w:rsidRDefault="000415C9" w:rsidP="00E552F7">
            <w:pPr>
              <w:jc w:val="center"/>
            </w:pPr>
            <w:r w:rsidRPr="00E33B17">
              <w:t>22</w:t>
            </w:r>
          </w:p>
        </w:tc>
      </w:tr>
      <w:tr w:rsidR="000415C9" w:rsidRPr="00E33B17" w14:paraId="57F28993"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163D68" w14:textId="77777777" w:rsidR="000415C9" w:rsidRPr="00E33B17" w:rsidRDefault="000415C9" w:rsidP="00E33B17">
            <w:r w:rsidRPr="00E33B17">
              <w:t>380 – TRI–COUNTY</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433EB6AB" w14:textId="77777777" w:rsidR="000415C9" w:rsidRPr="00E33B17" w:rsidRDefault="000415C9" w:rsidP="00E552F7">
            <w:pPr>
              <w:jc w:val="center"/>
            </w:pPr>
            <w:r w:rsidRPr="00E33B17">
              <w:t>37</w:t>
            </w:r>
          </w:p>
        </w:tc>
      </w:tr>
      <w:tr w:rsidR="000415C9" w:rsidRPr="00E33B17" w14:paraId="63283C79"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E94A2DF" w14:textId="77777777" w:rsidR="000415C9" w:rsidRPr="00E33B17" w:rsidRDefault="000415C9" w:rsidP="00E33B17">
            <w:r w:rsidRPr="00E33B17">
              <w:t>400 – DENTON</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77391003" w14:textId="77777777" w:rsidR="000415C9" w:rsidRPr="00E33B17" w:rsidRDefault="000415C9" w:rsidP="00E552F7">
            <w:pPr>
              <w:jc w:val="center"/>
            </w:pPr>
            <w:r w:rsidRPr="00E33B17">
              <w:t>27</w:t>
            </w:r>
          </w:p>
        </w:tc>
      </w:tr>
      <w:tr w:rsidR="000415C9" w:rsidRPr="00E33B17" w14:paraId="0939A19E"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9A4D1B0" w14:textId="77777777" w:rsidR="000415C9" w:rsidRPr="00E33B17" w:rsidRDefault="000415C9" w:rsidP="00E33B17">
            <w:r w:rsidRPr="00E33B17">
              <w:t>410 – LIFEPATH</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tcPr>
          <w:p w14:paraId="630D1DB5" w14:textId="77777777" w:rsidR="000415C9" w:rsidRPr="00E33B17" w:rsidRDefault="000415C9" w:rsidP="00E552F7">
            <w:pPr>
              <w:jc w:val="center"/>
            </w:pPr>
            <w:r w:rsidRPr="00E33B17">
              <w:t>54</w:t>
            </w:r>
          </w:p>
        </w:tc>
      </w:tr>
      <w:tr w:rsidR="000415C9" w:rsidRPr="00E33B17" w14:paraId="0B053C85"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F9DD5B" w14:textId="77777777" w:rsidR="000415C9" w:rsidRPr="00E33B17" w:rsidRDefault="000415C9" w:rsidP="00E33B17">
            <w:r w:rsidRPr="00E33B17">
              <w:t>430 – TEXANA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46AD8CF4" w14:textId="77777777" w:rsidR="000415C9" w:rsidRPr="00E33B17" w:rsidRDefault="000415C9" w:rsidP="00E552F7">
            <w:pPr>
              <w:jc w:val="center"/>
            </w:pPr>
            <w:r w:rsidRPr="00E33B17">
              <w:t>44</w:t>
            </w:r>
          </w:p>
        </w:tc>
      </w:tr>
      <w:tr w:rsidR="000415C9" w:rsidRPr="00E33B17" w14:paraId="0F840579"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EF768F" w14:textId="77777777" w:rsidR="000415C9" w:rsidRPr="00E33B17" w:rsidRDefault="000415C9" w:rsidP="00E33B17">
            <w:r w:rsidRPr="00E33B17">
              <w:t>440 – ACCESS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17A4274A" w14:textId="77777777" w:rsidR="000415C9" w:rsidRPr="00E33B17" w:rsidRDefault="000415C9" w:rsidP="00E552F7">
            <w:pPr>
              <w:jc w:val="center"/>
            </w:pPr>
            <w:r w:rsidRPr="00E33B17">
              <w:t>16</w:t>
            </w:r>
          </w:p>
        </w:tc>
      </w:tr>
      <w:tr w:rsidR="000415C9" w:rsidRPr="00E33B17" w14:paraId="0B5C41FF"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6D2A04A" w14:textId="77777777" w:rsidR="000415C9" w:rsidRPr="00E33B17" w:rsidRDefault="000415C9" w:rsidP="00E33B17">
            <w:r w:rsidRPr="00E33B17">
              <w:t>450 – WEST TX</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695C0C99" w14:textId="77777777" w:rsidR="000415C9" w:rsidRPr="00E33B17" w:rsidRDefault="000415C9" w:rsidP="00E552F7">
            <w:pPr>
              <w:jc w:val="center"/>
            </w:pPr>
            <w:r w:rsidRPr="00E33B17">
              <w:t>41</w:t>
            </w:r>
          </w:p>
        </w:tc>
      </w:tr>
      <w:tr w:rsidR="000415C9" w:rsidRPr="00E33B17" w14:paraId="0E4A1F84"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5C8324" w14:textId="77777777" w:rsidR="000415C9" w:rsidRPr="00E33B17" w:rsidRDefault="000415C9" w:rsidP="00E33B17">
            <w:r w:rsidRPr="00E33B17">
              <w:t>460 – BLUEBONNET</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111FDC11" w14:textId="77777777" w:rsidR="000415C9" w:rsidRPr="00E33B17" w:rsidRDefault="000415C9" w:rsidP="00E552F7">
            <w:pPr>
              <w:jc w:val="center"/>
            </w:pPr>
            <w:r w:rsidRPr="00E33B17">
              <w:t>34</w:t>
            </w:r>
          </w:p>
        </w:tc>
      </w:tr>
      <w:tr w:rsidR="000415C9" w:rsidRPr="00E33B17" w14:paraId="4814CD03"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A7CC4A" w14:textId="77777777" w:rsidR="000415C9" w:rsidRPr="00E33B17" w:rsidRDefault="000415C9" w:rsidP="00E33B17">
            <w:r w:rsidRPr="00E33B17">
              <w:t>470 – HILL COUNTRY</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5C551BB5" w14:textId="77777777" w:rsidR="000415C9" w:rsidRPr="00E33B17" w:rsidRDefault="000415C9" w:rsidP="00E552F7">
            <w:pPr>
              <w:jc w:val="center"/>
            </w:pPr>
            <w:r w:rsidRPr="00E33B17">
              <w:t>35</w:t>
            </w:r>
          </w:p>
        </w:tc>
      </w:tr>
      <w:tr w:rsidR="000415C9" w:rsidRPr="00E33B17" w14:paraId="332A6289"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09D942" w14:textId="77777777" w:rsidR="000415C9" w:rsidRPr="00E33B17" w:rsidRDefault="000415C9" w:rsidP="00E33B17">
            <w:r w:rsidRPr="00E33B17">
              <w:t>475 – COASTAL PLAINS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51E0ABC4" w14:textId="77777777" w:rsidR="000415C9" w:rsidRPr="00E33B17" w:rsidRDefault="000415C9" w:rsidP="00E552F7">
            <w:pPr>
              <w:jc w:val="center"/>
            </w:pPr>
            <w:r w:rsidRPr="00E33B17">
              <w:t>45</w:t>
            </w:r>
          </w:p>
        </w:tc>
      </w:tr>
      <w:tr w:rsidR="000415C9" w:rsidRPr="00E33B17" w14:paraId="4D966847"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C12DD8F" w14:textId="77777777" w:rsidR="000415C9" w:rsidRPr="00E33B17" w:rsidRDefault="000415C9" w:rsidP="00E33B17">
            <w:r w:rsidRPr="00E33B17">
              <w:t>480 – LAKES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7ACAB533" w14:textId="77777777" w:rsidR="000415C9" w:rsidRPr="00E33B17" w:rsidRDefault="000415C9" w:rsidP="00E552F7">
            <w:pPr>
              <w:jc w:val="center"/>
            </w:pPr>
            <w:r w:rsidRPr="00E33B17">
              <w:t>9</w:t>
            </w:r>
          </w:p>
        </w:tc>
      </w:tr>
      <w:tr w:rsidR="000415C9" w:rsidRPr="00E33B17" w14:paraId="55216109"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2B4449" w14:textId="77777777" w:rsidR="000415C9" w:rsidRPr="00E33B17" w:rsidRDefault="000415C9" w:rsidP="00E33B17">
            <w:r w:rsidRPr="00E33B17">
              <w:t xml:space="preserve">485 – BORDER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7CE76BD9" w14:textId="77777777" w:rsidR="000415C9" w:rsidRPr="00E33B17" w:rsidRDefault="000415C9" w:rsidP="00E552F7">
            <w:pPr>
              <w:jc w:val="center"/>
            </w:pPr>
            <w:r w:rsidRPr="00E33B17">
              <w:t>41</w:t>
            </w:r>
          </w:p>
        </w:tc>
      </w:tr>
      <w:tr w:rsidR="000415C9" w:rsidRPr="00E33B17" w14:paraId="5FC019B4" w14:textId="77777777" w:rsidTr="00786A03">
        <w:trPr>
          <w:cantSplit/>
          <w:trHeight w:hRule="exact" w:val="317"/>
          <w:jc w:val="center"/>
        </w:trPr>
        <w:tc>
          <w:tcPr>
            <w:tcW w:w="4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C948430" w14:textId="77777777" w:rsidR="000415C9" w:rsidRPr="00E33B17" w:rsidRDefault="000415C9" w:rsidP="00E33B17">
            <w:r w:rsidRPr="00E33B17">
              <w:t>490 – CAMINO</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hideMark/>
          </w:tcPr>
          <w:p w14:paraId="68A0112F" w14:textId="77777777" w:rsidR="000415C9" w:rsidRPr="00E33B17" w:rsidRDefault="000415C9" w:rsidP="00E552F7">
            <w:pPr>
              <w:jc w:val="center"/>
            </w:pPr>
            <w:r w:rsidRPr="00E33B17">
              <w:t>23</w:t>
            </w:r>
          </w:p>
        </w:tc>
      </w:tr>
    </w:tbl>
    <w:p w14:paraId="67A7023A" w14:textId="77777777" w:rsidR="0088075F" w:rsidRPr="00E33B17" w:rsidRDefault="0088075F" w:rsidP="00C72DF1"/>
    <w:p w14:paraId="0D0D643C" w14:textId="0416A93C" w:rsidR="00B05989" w:rsidRPr="00C72DF1" w:rsidRDefault="00B05989" w:rsidP="00C72DF1">
      <w:pPr>
        <w:jc w:val="center"/>
        <w:rPr>
          <w:b/>
          <w:bCs/>
        </w:rPr>
      </w:pPr>
      <w:r w:rsidRPr="00C72DF1">
        <w:rPr>
          <w:b/>
          <w:bCs/>
        </w:rPr>
        <w:t>The following measu</w:t>
      </w:r>
      <w:r w:rsidR="005C66DA" w:rsidRPr="00C72DF1">
        <w:rPr>
          <w:b/>
          <w:bCs/>
        </w:rPr>
        <w:t>res will be benchmarked during fiscal year</w:t>
      </w:r>
      <w:r w:rsidR="00E552F7">
        <w:rPr>
          <w:b/>
          <w:bCs/>
        </w:rPr>
        <w:t>s</w:t>
      </w:r>
      <w:r w:rsidR="005C66DA" w:rsidRPr="00C72DF1">
        <w:rPr>
          <w:b/>
          <w:bCs/>
        </w:rPr>
        <w:t xml:space="preserve"> </w:t>
      </w:r>
      <w:r w:rsidR="00E552F7" w:rsidRPr="00C72DF1">
        <w:rPr>
          <w:b/>
          <w:bCs/>
        </w:rPr>
        <w:t>202</w:t>
      </w:r>
      <w:r w:rsidR="00E552F7">
        <w:rPr>
          <w:b/>
          <w:bCs/>
        </w:rPr>
        <w:t>4-25</w:t>
      </w:r>
      <w:r w:rsidR="0078213E" w:rsidRPr="00C72DF1">
        <w:rPr>
          <w:b/>
          <w:bCs/>
        </w:rPr>
        <w:t xml:space="preserve">. </w:t>
      </w:r>
      <w:r w:rsidRPr="00C72DF1">
        <w:rPr>
          <w:b/>
          <w:bCs/>
        </w:rPr>
        <w:t xml:space="preserve">There will be no sanctions assessed for these outcomes during the benchmarking </w:t>
      </w:r>
      <w:r w:rsidR="00E552F7">
        <w:rPr>
          <w:b/>
          <w:bCs/>
        </w:rPr>
        <w:t>period</w:t>
      </w:r>
      <w:r w:rsidRPr="00C72DF1">
        <w:rPr>
          <w:b/>
          <w:bCs/>
        </w:rPr>
        <w:t>.</w:t>
      </w:r>
    </w:p>
    <w:p w14:paraId="012A312C" w14:textId="55605BE0" w:rsidR="008D4664" w:rsidRPr="004A7429" w:rsidRDefault="00E85D5E">
      <w:pPr>
        <w:pStyle w:val="Heading2"/>
      </w:pPr>
      <w:bookmarkStart w:id="156" w:name="_Toc134117595"/>
      <w:bookmarkStart w:id="157" w:name="_Toc134117596"/>
      <w:bookmarkStart w:id="158" w:name="_Toc134117597"/>
      <w:bookmarkStart w:id="159" w:name="_Toc134117598"/>
      <w:bookmarkStart w:id="160" w:name="_Toc134117599"/>
      <w:bookmarkStart w:id="161" w:name="_Toc134117600"/>
      <w:bookmarkStart w:id="162" w:name="_Toc134117601"/>
      <w:bookmarkStart w:id="163" w:name="_Toc134117602"/>
      <w:bookmarkStart w:id="164" w:name="_Toc134117603"/>
      <w:bookmarkEnd w:id="156"/>
      <w:bookmarkEnd w:id="157"/>
      <w:bookmarkEnd w:id="158"/>
      <w:bookmarkEnd w:id="159"/>
      <w:bookmarkEnd w:id="160"/>
      <w:bookmarkEnd w:id="161"/>
      <w:bookmarkEnd w:id="162"/>
      <w:bookmarkEnd w:id="163"/>
      <w:r w:rsidRPr="004A7429">
        <w:lastRenderedPageBreak/>
        <w:t>Retention of Justice</w:t>
      </w:r>
      <w:r w:rsidR="007D2683" w:rsidRPr="004A7429">
        <w:t>–</w:t>
      </w:r>
      <w:r w:rsidRPr="004A7429">
        <w:t xml:space="preserve">Involved </w:t>
      </w:r>
      <w:r w:rsidR="00C94BE4" w:rsidRPr="004A7429">
        <w:t>Children</w:t>
      </w:r>
      <w:bookmarkEnd w:id="164"/>
    </w:p>
    <w:p w14:paraId="4AAD0DF8" w14:textId="6E3867E3" w:rsidR="00076C8C" w:rsidRPr="00E33B17" w:rsidRDefault="008D4664">
      <w:pPr>
        <w:pStyle w:val="ListParagraph"/>
        <w:numPr>
          <w:ilvl w:val="2"/>
          <w:numId w:val="25"/>
        </w:numPr>
        <w:spacing w:before="120" w:after="120"/>
      </w:pPr>
      <w:r w:rsidRPr="00E33B17">
        <w:t xml:space="preserve">Target: </w:t>
      </w:r>
      <w:r w:rsidR="006D6033" w:rsidRPr="00E33B17">
        <w:t>The percentage of ch</w:t>
      </w:r>
      <w:r w:rsidR="009146B7" w:rsidRPr="00E33B17">
        <w:t>ildren authorized in</w:t>
      </w:r>
      <w:r w:rsidR="006D6033" w:rsidRPr="00E33B17">
        <w:t xml:space="preserve"> a FLOC in the previous measurement period with Assessment Type A (admit) and </w:t>
      </w:r>
      <w:r w:rsidR="00D7518B" w:rsidRPr="00E33B17">
        <w:t>CANS</w:t>
      </w:r>
      <w:r w:rsidR="00EC76DE" w:rsidRPr="00E33B17">
        <w:t xml:space="preserve"> scores that trigger</w:t>
      </w:r>
      <w:r w:rsidR="006D6033" w:rsidRPr="00E33B17">
        <w:t xml:space="preserve"> the Juvenile Justice </w:t>
      </w:r>
      <w:r w:rsidR="00D7518B" w:rsidRPr="00E33B17">
        <w:t>m</w:t>
      </w:r>
      <w:r w:rsidR="006D6033" w:rsidRPr="00E33B17">
        <w:t>odule who have</w:t>
      </w:r>
      <w:r w:rsidR="00076C8C" w:rsidRPr="00E33B17">
        <w:t>:</w:t>
      </w:r>
    </w:p>
    <w:p w14:paraId="6BFDCAA5" w14:textId="1620B7DC" w:rsidR="008E6695" w:rsidRPr="00E33B17" w:rsidRDefault="00540066">
      <w:pPr>
        <w:pStyle w:val="ListParagraph"/>
        <w:numPr>
          <w:ilvl w:val="3"/>
          <w:numId w:val="25"/>
        </w:numPr>
        <w:spacing w:before="120" w:after="120"/>
      </w:pPr>
      <w:r w:rsidRPr="00E33B17">
        <w:t>an in-person, synchronous audiovisual, or synchronous audio-only</w:t>
      </w:r>
      <w:r w:rsidR="00D44123" w:rsidRPr="00E33B17">
        <w:t xml:space="preserve"> service contact 75</w:t>
      </w:r>
      <w:r w:rsidR="007D2683" w:rsidRPr="00E33B17">
        <w:t>–</w:t>
      </w:r>
      <w:r w:rsidR="00D44123" w:rsidRPr="00E33B17">
        <w:t>180 days following the admit assessment</w:t>
      </w:r>
      <w:r w:rsidR="008E6695" w:rsidRPr="00E33B17">
        <w:t>;</w:t>
      </w:r>
      <w:r w:rsidR="00D44123" w:rsidRPr="00E33B17">
        <w:t xml:space="preserve"> and </w:t>
      </w:r>
    </w:p>
    <w:p w14:paraId="0254024C" w14:textId="77777777" w:rsidR="008D4664" w:rsidRPr="00E33B17" w:rsidRDefault="00D44123">
      <w:pPr>
        <w:pStyle w:val="ListParagraph"/>
        <w:numPr>
          <w:ilvl w:val="3"/>
          <w:numId w:val="25"/>
        </w:numPr>
        <w:spacing w:before="120" w:after="120"/>
      </w:pPr>
      <w:r w:rsidRPr="00E33B17">
        <w:t xml:space="preserve">a second </w:t>
      </w:r>
      <w:r w:rsidR="003A4A2E" w:rsidRPr="00E33B17">
        <w:t>A</w:t>
      </w:r>
      <w:r w:rsidRPr="00E33B17">
        <w:t>ssessment Type A (admit) or C (continuing) 75</w:t>
      </w:r>
      <w:r w:rsidR="007D2683" w:rsidRPr="00E33B17">
        <w:t>–</w:t>
      </w:r>
      <w:r w:rsidRPr="00E33B17">
        <w:t>210 days after the admit assessment.</w:t>
      </w:r>
    </w:p>
    <w:p w14:paraId="6BE8D5E1" w14:textId="560C80A6" w:rsidR="008D4664" w:rsidRPr="00E33B17" w:rsidRDefault="008D4664">
      <w:pPr>
        <w:pStyle w:val="ListParagraph"/>
        <w:numPr>
          <w:ilvl w:val="2"/>
          <w:numId w:val="25"/>
        </w:numPr>
        <w:spacing w:before="120" w:after="120"/>
      </w:pPr>
      <w:r w:rsidRPr="00E33B17">
        <w:t>Calculation: (Numerator/Denominator</w:t>
      </w:r>
      <w:r w:rsidR="00C72DF1">
        <w:t xml:space="preserve">) * </w:t>
      </w:r>
      <w:r w:rsidRPr="00E33B17">
        <w:t>100</w:t>
      </w:r>
    </w:p>
    <w:p w14:paraId="5E620263" w14:textId="33DBE6A1" w:rsidR="008D4664" w:rsidRPr="00E33B17" w:rsidRDefault="008D4664">
      <w:pPr>
        <w:pStyle w:val="ListParagraph"/>
        <w:numPr>
          <w:ilvl w:val="2"/>
          <w:numId w:val="25"/>
        </w:numPr>
        <w:spacing w:before="120" w:after="120"/>
      </w:pPr>
      <w:r w:rsidRPr="00E33B17">
        <w:t xml:space="preserve">Numerator: </w:t>
      </w:r>
      <w:r w:rsidR="00D44123" w:rsidRPr="00E33B17">
        <w:t xml:space="preserve">The number who have </w:t>
      </w:r>
      <w:r w:rsidR="00192AC1" w:rsidRPr="00E33B17">
        <w:t xml:space="preserve">an in-person, synchronous audiovisual, or synchronous audio-only </w:t>
      </w:r>
      <w:r w:rsidR="00D44123" w:rsidRPr="00E33B17">
        <w:t>service contact 75</w:t>
      </w:r>
      <w:r w:rsidR="007D2683" w:rsidRPr="00E33B17">
        <w:t>–</w:t>
      </w:r>
      <w:r w:rsidR="00D44123" w:rsidRPr="00E33B17">
        <w:t xml:space="preserve">180 days following the admit assessment and a second </w:t>
      </w:r>
      <w:r w:rsidR="003A4A2E" w:rsidRPr="00E33B17">
        <w:t>A</w:t>
      </w:r>
      <w:r w:rsidR="00D44123" w:rsidRPr="00E33B17">
        <w:t>ssessment Type A (admit) or C (continuing) 75</w:t>
      </w:r>
      <w:r w:rsidR="007D2683" w:rsidRPr="00E33B17">
        <w:t>–</w:t>
      </w:r>
      <w:r w:rsidR="00D44123" w:rsidRPr="00E33B17">
        <w:t>210 days after the admit assessment</w:t>
      </w:r>
      <w:r w:rsidRPr="00E33B17">
        <w:t>.</w:t>
      </w:r>
    </w:p>
    <w:p w14:paraId="7102853A" w14:textId="06D10F1D" w:rsidR="008D4664" w:rsidRPr="00E33B17" w:rsidRDefault="008D4664">
      <w:pPr>
        <w:pStyle w:val="ListParagraph"/>
        <w:numPr>
          <w:ilvl w:val="2"/>
          <w:numId w:val="25"/>
        </w:numPr>
        <w:spacing w:before="120" w:after="120"/>
      </w:pPr>
      <w:r w:rsidRPr="00E33B17">
        <w:t xml:space="preserve">Denominator: </w:t>
      </w:r>
      <w:r w:rsidR="00D2734D" w:rsidRPr="00E33B17">
        <w:t xml:space="preserve">The number of children authorized into a FLOC in the previous measurement period with Assessment Type A (admit) and </w:t>
      </w:r>
      <w:r w:rsidR="0098172B" w:rsidRPr="00E33B17">
        <w:t xml:space="preserve">CANS scores that </w:t>
      </w:r>
      <w:r w:rsidR="00D2734D" w:rsidRPr="00E33B17">
        <w:t>trigger the</w:t>
      </w:r>
      <w:r w:rsidR="00203367" w:rsidRPr="00E33B17">
        <w:t xml:space="preserve"> </w:t>
      </w:r>
      <w:r w:rsidR="00D2734D" w:rsidRPr="00E33B17">
        <w:t xml:space="preserve">Juvenile Justice </w:t>
      </w:r>
      <w:r w:rsidR="00203367" w:rsidRPr="00E33B17">
        <w:t>m</w:t>
      </w:r>
      <w:r w:rsidR="00D2734D" w:rsidRPr="00E33B17">
        <w:t>odule</w:t>
      </w:r>
      <w:r w:rsidRPr="00E33B17">
        <w:t>.</w:t>
      </w:r>
    </w:p>
    <w:p w14:paraId="08BDE62E" w14:textId="1AF52B6A" w:rsidR="008D4664" w:rsidRPr="00E33B17" w:rsidRDefault="008D4664">
      <w:pPr>
        <w:pStyle w:val="ListParagraph"/>
        <w:numPr>
          <w:ilvl w:val="2"/>
          <w:numId w:val="25"/>
        </w:numPr>
        <w:spacing w:before="120" w:after="120"/>
      </w:pPr>
      <w:r w:rsidRPr="00E33B17">
        <w:t>Exclusion(s)/Exception(s):</w:t>
      </w:r>
    </w:p>
    <w:p w14:paraId="7A94F9DA" w14:textId="057747CF" w:rsidR="00197279" w:rsidRPr="00E33B17" w:rsidRDefault="00197279">
      <w:pPr>
        <w:pStyle w:val="ListParagraph"/>
        <w:numPr>
          <w:ilvl w:val="3"/>
          <w:numId w:val="25"/>
        </w:numPr>
        <w:spacing w:before="120" w:after="120"/>
      </w:pPr>
      <w:r w:rsidRPr="00E33B17">
        <w:t>Hotline calls are excluded from the numerator.</w:t>
      </w:r>
    </w:p>
    <w:p w14:paraId="01C6E6D7" w14:textId="7EA40F46" w:rsidR="008D4664" w:rsidRDefault="008D4664">
      <w:pPr>
        <w:pStyle w:val="ListParagraph"/>
        <w:numPr>
          <w:ilvl w:val="2"/>
          <w:numId w:val="25"/>
        </w:numPr>
        <w:spacing w:before="120" w:after="120"/>
      </w:pPr>
      <w:r w:rsidRPr="00E33B17">
        <w:t>Data Source: CMBHS and MBOW.</w:t>
      </w:r>
    </w:p>
    <w:p w14:paraId="4181BEDD" w14:textId="77777777" w:rsidR="00E552F7" w:rsidRPr="00E33B17" w:rsidRDefault="00E552F7" w:rsidP="00C72DF1">
      <w:pPr>
        <w:spacing w:before="120" w:after="120"/>
      </w:pPr>
    </w:p>
    <w:p w14:paraId="46927B14" w14:textId="45A3D141" w:rsidR="00855C08" w:rsidRPr="004A7429" w:rsidRDefault="000B05F9">
      <w:pPr>
        <w:pStyle w:val="Heading2"/>
      </w:pPr>
      <w:bookmarkStart w:id="165" w:name="_Toc134117604"/>
      <w:r w:rsidRPr="004A7429">
        <w:t xml:space="preserve">Juvenile Justice </w:t>
      </w:r>
      <w:r w:rsidR="00273447" w:rsidRPr="004A7429">
        <w:t>Outcomes</w:t>
      </w:r>
      <w:bookmarkEnd w:id="165"/>
    </w:p>
    <w:p w14:paraId="7C889837" w14:textId="20652155" w:rsidR="00855C08" w:rsidRPr="00E33B17" w:rsidRDefault="00855C08">
      <w:pPr>
        <w:pStyle w:val="ListParagraph"/>
        <w:numPr>
          <w:ilvl w:val="2"/>
          <w:numId w:val="26"/>
        </w:numPr>
        <w:spacing w:before="120" w:after="120"/>
      </w:pPr>
      <w:r w:rsidRPr="00E33B17">
        <w:t xml:space="preserve">Target: The percentage of </w:t>
      </w:r>
      <w:r w:rsidR="009A6077" w:rsidRPr="00E33B17">
        <w:t xml:space="preserve">children </w:t>
      </w:r>
      <w:r w:rsidRPr="00E33B17">
        <w:t xml:space="preserve">authorized in a FLOC </w:t>
      </w:r>
      <w:r w:rsidR="00511B36" w:rsidRPr="00E33B17">
        <w:t>with</w:t>
      </w:r>
      <w:r w:rsidR="009A6077" w:rsidRPr="00E33B17">
        <w:t xml:space="preserve"> CANS scores </w:t>
      </w:r>
      <w:r w:rsidR="00511B36" w:rsidRPr="00E33B17">
        <w:t xml:space="preserve">that trigger </w:t>
      </w:r>
      <w:r w:rsidRPr="00E33B17">
        <w:t xml:space="preserve">the </w:t>
      </w:r>
      <w:r w:rsidR="005225A4" w:rsidRPr="00E33B17">
        <w:t>Juvenile Justice</w:t>
      </w:r>
      <w:r w:rsidRPr="00E33B17">
        <w:t xml:space="preserve"> module </w:t>
      </w:r>
      <w:r w:rsidR="00511B36" w:rsidRPr="00E33B17">
        <w:t xml:space="preserve">who have </w:t>
      </w:r>
      <w:r w:rsidRPr="00E33B17">
        <w:t xml:space="preserve">acceptable </w:t>
      </w:r>
      <w:r w:rsidR="001347B1" w:rsidRPr="00E33B17">
        <w:t xml:space="preserve">or improved </w:t>
      </w:r>
      <w:r w:rsidRPr="00E33B17">
        <w:t xml:space="preserve">functioning in the </w:t>
      </w:r>
      <w:r w:rsidR="005225A4" w:rsidRPr="00E33B17">
        <w:t xml:space="preserve">Juvenile Justice </w:t>
      </w:r>
      <w:r w:rsidRPr="00E33B17">
        <w:t>module.</w:t>
      </w:r>
    </w:p>
    <w:p w14:paraId="1F4460AE" w14:textId="25F730B1" w:rsidR="00855C08" w:rsidRPr="00E33B17" w:rsidRDefault="00855C08">
      <w:pPr>
        <w:pStyle w:val="ListParagraph"/>
        <w:numPr>
          <w:ilvl w:val="2"/>
          <w:numId w:val="26"/>
        </w:numPr>
        <w:spacing w:before="120" w:after="120"/>
      </w:pPr>
      <w:r w:rsidRPr="00E33B17">
        <w:t>Calculation: (Numerator/Denominator</w:t>
      </w:r>
      <w:r w:rsidR="00C72DF1">
        <w:t xml:space="preserve">) * </w:t>
      </w:r>
      <w:r w:rsidRPr="00E33B17">
        <w:t>100</w:t>
      </w:r>
    </w:p>
    <w:p w14:paraId="1D3DBFDD" w14:textId="77777777" w:rsidR="000B7A04" w:rsidRPr="00E33B17" w:rsidRDefault="00855C08">
      <w:pPr>
        <w:pStyle w:val="ListParagraph"/>
        <w:numPr>
          <w:ilvl w:val="2"/>
          <w:numId w:val="26"/>
        </w:numPr>
        <w:spacing w:before="120" w:after="120"/>
      </w:pPr>
      <w:r w:rsidRPr="00E33B17">
        <w:t xml:space="preserve">Numerator: The number </w:t>
      </w:r>
      <w:r w:rsidR="003D124C" w:rsidRPr="00E33B17">
        <w:t xml:space="preserve">with last </w:t>
      </w:r>
      <w:r w:rsidR="0036031B" w:rsidRPr="00E33B17">
        <w:t>UA</w:t>
      </w:r>
      <w:r w:rsidR="000728B6" w:rsidRPr="00E33B17">
        <w:t>s</w:t>
      </w:r>
      <w:r w:rsidR="003D124C" w:rsidRPr="00E33B17">
        <w:t xml:space="preserve"> that</w:t>
      </w:r>
      <w:r w:rsidR="00614790" w:rsidRPr="00E33B17">
        <w:t xml:space="preserve"> </w:t>
      </w:r>
      <w:r w:rsidR="00D01886" w:rsidRPr="00E33B17">
        <w:t>show improvement (meet or exceed the RCI benchmark in the direction of improvement) on the total score for the following Juvenile Justice module items: Seriousness, Arrests, Planning, Community Safety, and Legal Compliance; OR have acceptable scores on these items, defined as a score of 0 for all items except Arrest, which can have a score of 0 or 1.</w:t>
      </w:r>
    </w:p>
    <w:p w14:paraId="64F65427" w14:textId="7AF1573F" w:rsidR="00855C08" w:rsidRPr="00E33B17" w:rsidRDefault="00855C08">
      <w:pPr>
        <w:pStyle w:val="ListParagraph"/>
        <w:numPr>
          <w:ilvl w:val="2"/>
          <w:numId w:val="26"/>
        </w:numPr>
        <w:spacing w:before="120" w:after="120"/>
      </w:pPr>
      <w:r w:rsidRPr="00E33B17">
        <w:lastRenderedPageBreak/>
        <w:t xml:space="preserve">Denominator: The number of </w:t>
      </w:r>
      <w:r w:rsidR="00C53DA4" w:rsidRPr="00E33B17">
        <w:t xml:space="preserve">children </w:t>
      </w:r>
      <w:r w:rsidRPr="00E33B17">
        <w:t xml:space="preserve">authorized in a FLOC with first and last </w:t>
      </w:r>
      <w:r w:rsidR="0036031B" w:rsidRPr="00E33B17">
        <w:t>UA</w:t>
      </w:r>
      <w:r w:rsidRPr="00E33B17">
        <w:t xml:space="preserve">s at least </w:t>
      </w:r>
      <w:r w:rsidR="00C53DA4" w:rsidRPr="00E33B17">
        <w:t>75</w:t>
      </w:r>
      <w:r w:rsidRPr="00E33B17">
        <w:t xml:space="preserve"> days apart </w:t>
      </w:r>
      <w:r w:rsidR="00C53DA4" w:rsidRPr="00E33B17">
        <w:t>who have CANS scores</w:t>
      </w:r>
      <w:r w:rsidRPr="00E33B17">
        <w:t xml:space="preserve"> trigger</w:t>
      </w:r>
      <w:r w:rsidR="00C53DA4" w:rsidRPr="00E33B17">
        <w:t>ing</w:t>
      </w:r>
      <w:r w:rsidRPr="00E33B17">
        <w:t xml:space="preserve"> the </w:t>
      </w:r>
      <w:r w:rsidR="005225A4" w:rsidRPr="00E33B17">
        <w:t xml:space="preserve">Juvenile Justice </w:t>
      </w:r>
      <w:r w:rsidRPr="00E33B17">
        <w:t xml:space="preserve">module on the first </w:t>
      </w:r>
      <w:r w:rsidR="0036031B" w:rsidRPr="00E33B17">
        <w:t>UA</w:t>
      </w:r>
      <w:r w:rsidRPr="00E33B17">
        <w:t>.</w:t>
      </w:r>
    </w:p>
    <w:p w14:paraId="59075853" w14:textId="1713BAF0" w:rsidR="00855C08" w:rsidRPr="00E33B17" w:rsidRDefault="00855C08">
      <w:pPr>
        <w:pStyle w:val="ListParagraph"/>
        <w:numPr>
          <w:ilvl w:val="2"/>
          <w:numId w:val="26"/>
        </w:numPr>
        <w:spacing w:before="120" w:after="120"/>
      </w:pPr>
      <w:r w:rsidRPr="00E33B17">
        <w:t>Exclusion(s)/Exception(s): N/A</w:t>
      </w:r>
    </w:p>
    <w:p w14:paraId="2ED4E05F" w14:textId="12F76268" w:rsidR="00855C08" w:rsidRDefault="00855C08">
      <w:pPr>
        <w:pStyle w:val="ListParagraph"/>
        <w:numPr>
          <w:ilvl w:val="2"/>
          <w:numId w:val="26"/>
        </w:numPr>
        <w:spacing w:before="120" w:after="120"/>
      </w:pPr>
      <w:r w:rsidRPr="00E33B17">
        <w:t>Data Source</w:t>
      </w:r>
      <w:r w:rsidR="0068270A">
        <w:t xml:space="preserve">: </w:t>
      </w:r>
      <w:r w:rsidRPr="00E33B17">
        <w:t>CMBHS and MBOW.</w:t>
      </w:r>
    </w:p>
    <w:p w14:paraId="1F81F307" w14:textId="77777777" w:rsidR="00C72DF1" w:rsidRDefault="00C72DF1"/>
    <w:p w14:paraId="746E1750" w14:textId="77777777" w:rsidR="00C72DF1" w:rsidRDefault="00C72DF1"/>
    <w:p w14:paraId="5A517F8A" w14:textId="77777777" w:rsidR="00C72DF1" w:rsidRPr="00C72DF1" w:rsidRDefault="00C72DF1" w:rsidP="00C72DF1">
      <w:pPr>
        <w:jc w:val="center"/>
      </w:pPr>
      <w:r>
        <w:rPr>
          <w:i/>
          <w:iCs/>
        </w:rPr>
        <w:t>Remainder of Page Intentionally Left Blank</w:t>
      </w:r>
      <w:r w:rsidRPr="00E33B17">
        <w:br w:type="page"/>
      </w:r>
    </w:p>
    <w:p w14:paraId="37B05682" w14:textId="50B13445" w:rsidR="0088075F" w:rsidRDefault="00B013F8">
      <w:pPr>
        <w:pStyle w:val="Heading1"/>
      </w:pPr>
      <w:bookmarkStart w:id="166" w:name="_Toc134117605"/>
      <w:r w:rsidRPr="004A7429">
        <w:lastRenderedPageBreak/>
        <w:t>Crisis Services</w:t>
      </w:r>
      <w:bookmarkEnd w:id="166"/>
    </w:p>
    <w:p w14:paraId="392F2B4F" w14:textId="31BA2E02" w:rsidR="00E552F7" w:rsidRPr="00C72DF1" w:rsidRDefault="00560B3E" w:rsidP="00C72DF1">
      <w:pPr>
        <w:spacing w:before="240" w:after="240"/>
        <w:rPr>
          <w:b/>
          <w:sz w:val="28"/>
          <w:szCs w:val="28"/>
        </w:rPr>
      </w:pPr>
      <w:r>
        <w:t>Unless otherwise noted below, m</w:t>
      </w:r>
      <w:r w:rsidRPr="009E62ED">
        <w:t>easures shall be assessed 37 calendar days following the close of Quarter 2 (measuring Quarters 1 and 2) and Quarter 4 (Measuring Quarters 3 and 4). Quarters start September 1st of each year and end August 31st of each year</w:t>
      </w:r>
      <w:r w:rsidR="0078213E" w:rsidRPr="009E62ED">
        <w:t xml:space="preserve">. </w:t>
      </w:r>
      <w:r w:rsidRPr="009E62ED">
        <w:t xml:space="preserve">For each measure Grantee does not meet, </w:t>
      </w:r>
      <w:r>
        <w:t>HHSC may</w:t>
      </w:r>
      <w:r w:rsidRPr="009E62ED">
        <w:t xml:space="preserve"> employ remedies/sanctions available under Article VII of Contract Attachment C, LMHA Special Conditions.</w:t>
      </w:r>
    </w:p>
    <w:p w14:paraId="02F38356" w14:textId="77777777" w:rsidR="00B9498F" w:rsidRPr="004A7429" w:rsidRDefault="00B9498F">
      <w:pPr>
        <w:pStyle w:val="Heading2"/>
      </w:pPr>
      <w:bookmarkStart w:id="167" w:name="_Toc134117606"/>
      <w:r w:rsidRPr="004A7429">
        <w:t>Hospitalization</w:t>
      </w:r>
      <w:r w:rsidR="00C636C3" w:rsidRPr="004A7429">
        <w:t xml:space="preserve"> Rate</w:t>
      </w:r>
      <w:bookmarkEnd w:id="167"/>
    </w:p>
    <w:p w14:paraId="53022001" w14:textId="2B97F23F" w:rsidR="001E2AEA" w:rsidRPr="00E33B17" w:rsidRDefault="001E2AEA">
      <w:pPr>
        <w:pStyle w:val="ListParagraph"/>
        <w:numPr>
          <w:ilvl w:val="2"/>
          <w:numId w:val="27"/>
        </w:numPr>
        <w:spacing w:before="120" w:after="120"/>
      </w:pPr>
      <w:r w:rsidRPr="00E33B17">
        <w:t>Target:</w:t>
      </w:r>
      <w:r w:rsidR="00614D26" w:rsidRPr="00E33B17">
        <w:t xml:space="preserve"> The equity</w:t>
      </w:r>
      <w:r w:rsidR="007D2683" w:rsidRPr="00E33B17">
        <w:t>–</w:t>
      </w:r>
      <w:r w:rsidR="00614D26" w:rsidRPr="00E33B17">
        <w:t xml:space="preserve">adjusted rate of </w:t>
      </w:r>
      <w:r w:rsidR="00B235DF">
        <w:t>HHSC</w:t>
      </w:r>
      <w:r w:rsidR="00614D26" w:rsidRPr="00E33B17">
        <w:t xml:space="preserve"> Inpatient </w:t>
      </w:r>
      <w:r w:rsidR="00790F75" w:rsidRPr="00E33B17">
        <w:t>Bed Days</w:t>
      </w:r>
      <w:r w:rsidR="00614D26" w:rsidRPr="00E33B17">
        <w:t xml:space="preserve"> in the population of the local service area shall be less than or equal to 1.9%</w:t>
      </w:r>
      <w:r w:rsidRPr="00E33B17">
        <w:t>.</w:t>
      </w:r>
    </w:p>
    <w:p w14:paraId="1392B530" w14:textId="36A7BB94" w:rsidR="001E2AEA" w:rsidRPr="00E33B17" w:rsidRDefault="001E2AEA">
      <w:pPr>
        <w:pStyle w:val="ListParagraph"/>
        <w:numPr>
          <w:ilvl w:val="2"/>
          <w:numId w:val="27"/>
        </w:numPr>
        <w:spacing w:before="120" w:after="120"/>
      </w:pPr>
      <w:r w:rsidRPr="00E33B17">
        <w:t>Calculation: (Numerator/Denominator</w:t>
      </w:r>
      <w:r w:rsidR="00C72DF1">
        <w:t xml:space="preserve">) * </w:t>
      </w:r>
      <w:r w:rsidRPr="00E33B17">
        <w:t>100</w:t>
      </w:r>
    </w:p>
    <w:p w14:paraId="7E3DAF5A" w14:textId="5BD40058" w:rsidR="001E2AEA" w:rsidRPr="00E33B17" w:rsidRDefault="001E2AEA">
      <w:pPr>
        <w:pStyle w:val="ListParagraph"/>
        <w:numPr>
          <w:ilvl w:val="2"/>
          <w:numId w:val="27"/>
        </w:numPr>
        <w:spacing w:before="120" w:after="120"/>
      </w:pPr>
      <w:r w:rsidRPr="00E33B17">
        <w:t>Numerator:</w:t>
      </w:r>
      <w:r w:rsidR="00E13D08" w:rsidRPr="00E33B17">
        <w:t xml:space="preserve"> The number of </w:t>
      </w:r>
      <w:r w:rsidR="00B235DF">
        <w:t>HHSC</w:t>
      </w:r>
      <w:r w:rsidR="00E13D08" w:rsidRPr="00E33B17">
        <w:t xml:space="preserve"> Inpatient Bed Days for the population in the local service area multiplied by the LMHA</w:t>
      </w:r>
      <w:r w:rsidR="000A028A" w:rsidRPr="00E33B17">
        <w:t>/LBHA</w:t>
      </w:r>
      <w:r w:rsidR="00E13D08" w:rsidRPr="00E33B17">
        <w:t>’s equity factor.</w:t>
      </w:r>
    </w:p>
    <w:p w14:paraId="1F7D0363" w14:textId="77777777" w:rsidR="001E2AEA" w:rsidRPr="00E33B17" w:rsidRDefault="001E2AEA">
      <w:pPr>
        <w:pStyle w:val="ListParagraph"/>
        <w:numPr>
          <w:ilvl w:val="2"/>
          <w:numId w:val="27"/>
        </w:numPr>
        <w:spacing w:before="120" w:after="120"/>
      </w:pPr>
      <w:r w:rsidRPr="00E33B17">
        <w:t>Denominator:</w:t>
      </w:r>
      <w:r w:rsidR="00E13D08" w:rsidRPr="00E33B17">
        <w:t xml:space="preserve"> Total population of the local service area.</w:t>
      </w:r>
    </w:p>
    <w:p w14:paraId="19F7B1D4" w14:textId="77777777" w:rsidR="001E2AEA" w:rsidRPr="00E33B17" w:rsidRDefault="001E2AEA">
      <w:pPr>
        <w:pStyle w:val="ListParagraph"/>
        <w:numPr>
          <w:ilvl w:val="2"/>
          <w:numId w:val="27"/>
        </w:numPr>
        <w:spacing w:before="120" w:after="120"/>
      </w:pPr>
      <w:r w:rsidRPr="00E33B17">
        <w:t>Exclusion(s)/Exception(s)</w:t>
      </w:r>
      <w:r w:rsidR="00484433" w:rsidRPr="00E33B17">
        <w:t>:</w:t>
      </w:r>
    </w:p>
    <w:p w14:paraId="4E6DC2B8" w14:textId="77777777" w:rsidR="00484433" w:rsidRPr="00E33B17" w:rsidRDefault="00484433">
      <w:pPr>
        <w:pStyle w:val="ListParagraph"/>
        <w:numPr>
          <w:ilvl w:val="3"/>
          <w:numId w:val="27"/>
        </w:numPr>
        <w:spacing w:before="120" w:after="120"/>
      </w:pPr>
      <w:r w:rsidRPr="00E33B17">
        <w:t>Crisis Stabilization Units (CSU</w:t>
      </w:r>
      <w:r w:rsidR="00F5675B" w:rsidRPr="00E33B17">
        <w:t>s</w:t>
      </w:r>
      <w:r w:rsidRPr="00E33B17">
        <w:t xml:space="preserve">) </w:t>
      </w:r>
      <w:r w:rsidR="006633CA" w:rsidRPr="00E33B17">
        <w:t>–</w:t>
      </w:r>
      <w:r w:rsidRPr="00E33B17">
        <w:t xml:space="preserve"> including Hill Country, Extended Observation Units (EOU</w:t>
      </w:r>
      <w:r w:rsidR="00F5675B" w:rsidRPr="00E33B17">
        <w:t>s</w:t>
      </w:r>
      <w:r w:rsidRPr="00E33B17">
        <w:t>), Crisis Respite, Crisis Residential</w:t>
      </w:r>
      <w:r w:rsidR="00F5675B" w:rsidRPr="00E33B17">
        <w:t>,</w:t>
      </w:r>
      <w:r w:rsidRPr="00E33B17">
        <w:t xml:space="preserve"> and Rusk and Vernon forensic locations.</w:t>
      </w:r>
    </w:p>
    <w:p w14:paraId="63D3E93A" w14:textId="54405CFB" w:rsidR="00484433" w:rsidRPr="00E33B17" w:rsidRDefault="00484433">
      <w:pPr>
        <w:pStyle w:val="ListParagraph"/>
        <w:numPr>
          <w:ilvl w:val="3"/>
          <w:numId w:val="27"/>
        </w:numPr>
        <w:spacing w:before="120" w:after="120"/>
      </w:pPr>
      <w:r w:rsidRPr="00E33B17">
        <w:t>Children</w:t>
      </w:r>
      <w:r w:rsidR="000A028A" w:rsidRPr="00E33B17">
        <w:t xml:space="preserve"> </w:t>
      </w:r>
      <w:r w:rsidRPr="00E33B17">
        <w:t>in LOC</w:t>
      </w:r>
      <w:r w:rsidR="007D2683" w:rsidRPr="00E33B17">
        <w:t>–</w:t>
      </w:r>
      <w:r w:rsidRPr="00E33B17">
        <w:t>Y (YES Waiver).</w:t>
      </w:r>
    </w:p>
    <w:p w14:paraId="556EEF8F" w14:textId="02169E97" w:rsidR="001E2AEA" w:rsidRPr="00E33B17" w:rsidRDefault="001E2AEA">
      <w:pPr>
        <w:pStyle w:val="ListParagraph"/>
        <w:numPr>
          <w:ilvl w:val="2"/>
          <w:numId w:val="27"/>
        </w:numPr>
        <w:spacing w:before="120" w:after="120"/>
      </w:pPr>
      <w:r w:rsidRPr="00E33B17">
        <w:t>Data Source</w:t>
      </w:r>
      <w:r w:rsidR="0068270A">
        <w:t xml:space="preserve">: </w:t>
      </w:r>
      <w:r w:rsidRPr="00E33B17">
        <w:t>CMBHS and MBOW.</w:t>
      </w:r>
    </w:p>
    <w:p w14:paraId="1BE91BEA" w14:textId="77777777" w:rsidR="00484433" w:rsidRPr="00E33B17" w:rsidRDefault="00484433">
      <w:pPr>
        <w:pStyle w:val="ListParagraph"/>
        <w:numPr>
          <w:ilvl w:val="2"/>
          <w:numId w:val="27"/>
        </w:numPr>
        <w:spacing w:before="120" w:after="120"/>
      </w:pPr>
      <w:r w:rsidRPr="00E33B17">
        <w:t>Example:</w:t>
      </w:r>
    </w:p>
    <w:tbl>
      <w:tblPr>
        <w:tblStyle w:val="TableGrid"/>
        <w:tblW w:w="10815" w:type="dxa"/>
        <w:jc w:val="center"/>
        <w:tblCellMar>
          <w:top w:w="72" w:type="dxa"/>
          <w:left w:w="115" w:type="dxa"/>
          <w:bottom w:w="72" w:type="dxa"/>
          <w:right w:w="115" w:type="dxa"/>
        </w:tblCellMar>
        <w:tblLook w:val="04A0" w:firstRow="1" w:lastRow="0" w:firstColumn="1" w:lastColumn="0" w:noHBand="0" w:noVBand="1"/>
        <w:tblCaption w:val="Calculation for Hospitalization Outcome"/>
      </w:tblPr>
      <w:tblGrid>
        <w:gridCol w:w="1700"/>
        <w:gridCol w:w="1516"/>
        <w:gridCol w:w="1343"/>
        <w:gridCol w:w="1907"/>
        <w:gridCol w:w="2373"/>
        <w:gridCol w:w="1976"/>
      </w:tblGrid>
      <w:tr w:rsidR="00171A19" w:rsidRPr="00E33B17" w14:paraId="383ED7D3" w14:textId="77777777" w:rsidTr="00C72DF1">
        <w:trPr>
          <w:trHeight w:val="1646"/>
          <w:tblHeader/>
          <w:jc w:val="center"/>
        </w:trPr>
        <w:tc>
          <w:tcPr>
            <w:tcW w:w="1700" w:type="dxa"/>
            <w:tcBorders>
              <w:top w:val="single" w:sz="4" w:space="0" w:color="auto"/>
              <w:left w:val="single" w:sz="4" w:space="0" w:color="auto"/>
              <w:bottom w:val="single" w:sz="4" w:space="0" w:color="auto"/>
              <w:right w:val="single" w:sz="4" w:space="0" w:color="auto"/>
            </w:tcBorders>
            <w:hideMark/>
          </w:tcPr>
          <w:p w14:paraId="58E0A71D" w14:textId="77777777" w:rsidR="00171A19" w:rsidRPr="00C72DF1" w:rsidRDefault="00171A19" w:rsidP="00C72DF1">
            <w:pPr>
              <w:rPr>
                <w:b/>
                <w:bCs/>
              </w:rPr>
            </w:pPr>
            <w:r w:rsidRPr="00C72DF1">
              <w:rPr>
                <w:b/>
                <w:bCs/>
              </w:rPr>
              <w:t>Local Service Area Population</w:t>
            </w:r>
          </w:p>
        </w:tc>
        <w:tc>
          <w:tcPr>
            <w:tcW w:w="1516" w:type="dxa"/>
            <w:tcBorders>
              <w:top w:val="single" w:sz="4" w:space="0" w:color="auto"/>
              <w:left w:val="single" w:sz="4" w:space="0" w:color="auto"/>
              <w:bottom w:val="single" w:sz="4" w:space="0" w:color="auto"/>
              <w:right w:val="single" w:sz="4" w:space="0" w:color="auto"/>
            </w:tcBorders>
            <w:hideMark/>
          </w:tcPr>
          <w:p w14:paraId="3D77EBD6" w14:textId="77777777" w:rsidR="00171A19" w:rsidRPr="00C72DF1" w:rsidRDefault="00171A19" w:rsidP="00C72DF1">
            <w:pPr>
              <w:rPr>
                <w:b/>
                <w:bCs/>
              </w:rPr>
            </w:pPr>
            <w:r w:rsidRPr="00C72DF1">
              <w:rPr>
                <w:b/>
                <w:bCs/>
              </w:rPr>
              <w:t>Reported Inpatient Bed Days</w:t>
            </w:r>
          </w:p>
        </w:tc>
        <w:tc>
          <w:tcPr>
            <w:tcW w:w="1343" w:type="dxa"/>
            <w:tcBorders>
              <w:top w:val="single" w:sz="4" w:space="0" w:color="auto"/>
              <w:left w:val="single" w:sz="4" w:space="0" w:color="auto"/>
              <w:bottom w:val="single" w:sz="4" w:space="0" w:color="auto"/>
              <w:right w:val="single" w:sz="4" w:space="0" w:color="auto"/>
            </w:tcBorders>
            <w:hideMark/>
          </w:tcPr>
          <w:p w14:paraId="3C9F4496" w14:textId="77777777" w:rsidR="00171A19" w:rsidRPr="00C72DF1" w:rsidRDefault="00171A19" w:rsidP="00C72DF1">
            <w:pPr>
              <w:rPr>
                <w:b/>
                <w:bCs/>
              </w:rPr>
            </w:pPr>
            <w:r w:rsidRPr="00C72DF1">
              <w:rPr>
                <w:b/>
                <w:bCs/>
              </w:rPr>
              <w:t>Per Capita Funding</w:t>
            </w:r>
          </w:p>
        </w:tc>
        <w:tc>
          <w:tcPr>
            <w:tcW w:w="1907" w:type="dxa"/>
            <w:tcBorders>
              <w:top w:val="single" w:sz="4" w:space="0" w:color="auto"/>
              <w:left w:val="single" w:sz="4" w:space="0" w:color="auto"/>
              <w:bottom w:val="single" w:sz="4" w:space="0" w:color="auto"/>
              <w:right w:val="single" w:sz="4" w:space="0" w:color="auto"/>
            </w:tcBorders>
            <w:hideMark/>
          </w:tcPr>
          <w:p w14:paraId="45171226" w14:textId="77777777" w:rsidR="00171A19" w:rsidRPr="00C72DF1" w:rsidRDefault="00171A19" w:rsidP="00C72DF1">
            <w:pPr>
              <w:rPr>
                <w:b/>
                <w:bCs/>
              </w:rPr>
            </w:pPr>
            <w:r w:rsidRPr="00C72DF1">
              <w:rPr>
                <w:b/>
                <w:bCs/>
              </w:rPr>
              <w:t>Per Capita Funding of highest ranking LMHA</w:t>
            </w:r>
            <w:r w:rsidR="000A028A" w:rsidRPr="00C72DF1">
              <w:rPr>
                <w:b/>
                <w:bCs/>
              </w:rPr>
              <w:t>/LBHA</w:t>
            </w:r>
          </w:p>
        </w:tc>
        <w:tc>
          <w:tcPr>
            <w:tcW w:w="2373" w:type="dxa"/>
            <w:tcBorders>
              <w:top w:val="single" w:sz="4" w:space="0" w:color="auto"/>
              <w:left w:val="single" w:sz="4" w:space="0" w:color="auto"/>
              <w:bottom w:val="single" w:sz="4" w:space="0" w:color="auto"/>
              <w:right w:val="single" w:sz="4" w:space="0" w:color="auto"/>
            </w:tcBorders>
            <w:hideMark/>
          </w:tcPr>
          <w:p w14:paraId="2120059C" w14:textId="77777777" w:rsidR="00171A19" w:rsidRPr="00C72DF1" w:rsidRDefault="00171A19" w:rsidP="00C72DF1">
            <w:pPr>
              <w:rPr>
                <w:b/>
                <w:bCs/>
              </w:rPr>
            </w:pPr>
            <w:r w:rsidRPr="00C72DF1">
              <w:rPr>
                <w:b/>
                <w:bCs/>
              </w:rPr>
              <w:t>Calculation</w:t>
            </w:r>
          </w:p>
        </w:tc>
        <w:tc>
          <w:tcPr>
            <w:tcW w:w="1976" w:type="dxa"/>
            <w:tcBorders>
              <w:top w:val="single" w:sz="4" w:space="0" w:color="auto"/>
              <w:left w:val="single" w:sz="4" w:space="0" w:color="auto"/>
              <w:bottom w:val="single" w:sz="4" w:space="0" w:color="auto"/>
              <w:right w:val="single" w:sz="4" w:space="0" w:color="auto"/>
            </w:tcBorders>
            <w:hideMark/>
          </w:tcPr>
          <w:p w14:paraId="64840849" w14:textId="77777777" w:rsidR="00171A19" w:rsidRPr="00C72DF1" w:rsidRDefault="00171A19" w:rsidP="00C72DF1">
            <w:pPr>
              <w:rPr>
                <w:b/>
                <w:bCs/>
              </w:rPr>
            </w:pPr>
            <w:r w:rsidRPr="00C72DF1">
              <w:rPr>
                <w:b/>
                <w:bCs/>
              </w:rPr>
              <w:t>Equity</w:t>
            </w:r>
            <w:r w:rsidR="007D2683" w:rsidRPr="00C72DF1">
              <w:rPr>
                <w:b/>
                <w:bCs/>
              </w:rPr>
              <w:t>–</w:t>
            </w:r>
            <w:r w:rsidRPr="00C72DF1">
              <w:rPr>
                <w:b/>
                <w:bCs/>
              </w:rPr>
              <w:t>adjusted Performance</w:t>
            </w:r>
          </w:p>
        </w:tc>
      </w:tr>
      <w:tr w:rsidR="00171A19" w:rsidRPr="00E33B17" w14:paraId="54BCF094" w14:textId="77777777" w:rsidTr="00C72DF1">
        <w:trPr>
          <w:trHeight w:val="924"/>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14:paraId="5DEA846E" w14:textId="77777777" w:rsidR="00171A19" w:rsidRPr="00C72DF1" w:rsidRDefault="00171A19" w:rsidP="00C72DF1">
            <w:r w:rsidRPr="00C72DF1">
              <w:t>500,000</w:t>
            </w:r>
          </w:p>
        </w:tc>
        <w:tc>
          <w:tcPr>
            <w:tcW w:w="1516" w:type="dxa"/>
            <w:tcBorders>
              <w:top w:val="single" w:sz="4" w:space="0" w:color="auto"/>
              <w:left w:val="single" w:sz="4" w:space="0" w:color="auto"/>
              <w:bottom w:val="single" w:sz="4" w:space="0" w:color="auto"/>
              <w:right w:val="single" w:sz="4" w:space="0" w:color="auto"/>
            </w:tcBorders>
            <w:vAlign w:val="center"/>
            <w:hideMark/>
          </w:tcPr>
          <w:p w14:paraId="08E75472" w14:textId="77777777" w:rsidR="00171A19" w:rsidRPr="00C72DF1" w:rsidRDefault="00171A19" w:rsidP="00C72DF1">
            <w:r w:rsidRPr="00C72DF1">
              <w:t>10,000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2D9F3CC8" w14:textId="77777777" w:rsidR="00171A19" w:rsidRPr="00C72DF1" w:rsidRDefault="00171A19" w:rsidP="00C72DF1">
            <w:r w:rsidRPr="00C72DF1">
              <w:t>$20.00</w:t>
            </w:r>
          </w:p>
        </w:tc>
        <w:tc>
          <w:tcPr>
            <w:tcW w:w="1907" w:type="dxa"/>
            <w:tcBorders>
              <w:top w:val="single" w:sz="4" w:space="0" w:color="auto"/>
              <w:left w:val="single" w:sz="4" w:space="0" w:color="auto"/>
              <w:bottom w:val="single" w:sz="4" w:space="0" w:color="auto"/>
              <w:right w:val="single" w:sz="4" w:space="0" w:color="auto"/>
            </w:tcBorders>
            <w:vAlign w:val="center"/>
            <w:hideMark/>
          </w:tcPr>
          <w:p w14:paraId="50EB944E" w14:textId="77777777" w:rsidR="00171A19" w:rsidRPr="00C72DF1" w:rsidRDefault="00171A19" w:rsidP="00C72DF1">
            <w:r w:rsidRPr="00C72DF1">
              <w:t>$30.00</w:t>
            </w:r>
          </w:p>
        </w:tc>
        <w:tc>
          <w:tcPr>
            <w:tcW w:w="2373" w:type="dxa"/>
            <w:tcBorders>
              <w:top w:val="single" w:sz="4" w:space="0" w:color="auto"/>
              <w:left w:val="single" w:sz="4" w:space="0" w:color="auto"/>
              <w:bottom w:val="single" w:sz="4" w:space="0" w:color="auto"/>
              <w:right w:val="single" w:sz="4" w:space="0" w:color="auto"/>
            </w:tcBorders>
            <w:vAlign w:val="center"/>
            <w:hideMark/>
          </w:tcPr>
          <w:p w14:paraId="78A55165" w14:textId="77777777" w:rsidR="00171A19" w:rsidRPr="00C72DF1" w:rsidRDefault="00000000" w:rsidP="00C72DF1">
            <m:oMathPara>
              <m:oMath>
                <m:f>
                  <m:fPr>
                    <m:ctrlPr>
                      <w:rPr>
                        <w:rFonts w:ascii="Cambria Math" w:hAnsi="Cambria Math"/>
                        <w:i/>
                      </w:rPr>
                    </m:ctrlPr>
                  </m:fPr>
                  <m:num>
                    <m:d>
                      <m:dPr>
                        <m:begChr m:val="["/>
                        <m:endChr m:val="]"/>
                        <m:ctrlPr>
                          <w:rPr>
                            <w:rFonts w:ascii="Cambria Math" w:hAnsi="Cambria Math"/>
                            <w:i/>
                          </w:rPr>
                        </m:ctrlPr>
                      </m:dPr>
                      <m:e>
                        <m:d>
                          <m:dPr>
                            <m:ctrlPr>
                              <w:rPr>
                                <w:rFonts w:ascii="Cambria Math" w:hAnsi="Cambria Math"/>
                                <w:i/>
                              </w:rPr>
                            </m:ctrlPr>
                          </m:dPr>
                          <m:e>
                            <m:r>
                              <w:rPr>
                                <w:rFonts w:ascii="Cambria Math" w:hAnsi="Cambria Math"/>
                              </w:rPr>
                              <m:t>10,000</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20.00</m:t>
                                </m:r>
                              </m:num>
                              <m:den>
                                <m:r>
                                  <w:rPr>
                                    <w:rFonts w:ascii="Cambria Math" w:hAnsi="Cambria Math"/>
                                  </w:rPr>
                                  <m:t>30.00</m:t>
                                </m:r>
                              </m:den>
                            </m:f>
                          </m:e>
                        </m:d>
                      </m:e>
                    </m:d>
                  </m:num>
                  <m:den>
                    <m:r>
                      <w:rPr>
                        <w:rFonts w:ascii="Cambria Math" w:hAnsi="Cambria Math"/>
                      </w:rPr>
                      <m:t>500,000</m:t>
                    </m:r>
                  </m:den>
                </m:f>
              </m:oMath>
            </m:oMathPara>
          </w:p>
        </w:tc>
        <w:tc>
          <w:tcPr>
            <w:tcW w:w="1976" w:type="dxa"/>
            <w:tcBorders>
              <w:top w:val="single" w:sz="4" w:space="0" w:color="auto"/>
              <w:left w:val="single" w:sz="4" w:space="0" w:color="auto"/>
              <w:bottom w:val="single" w:sz="4" w:space="0" w:color="auto"/>
              <w:right w:val="single" w:sz="4" w:space="0" w:color="auto"/>
            </w:tcBorders>
            <w:vAlign w:val="center"/>
            <w:hideMark/>
          </w:tcPr>
          <w:p w14:paraId="79308075" w14:textId="77777777" w:rsidR="00171A19" w:rsidRPr="00C72DF1" w:rsidRDefault="00171A19" w:rsidP="00C72DF1">
            <w:r w:rsidRPr="00C72DF1">
              <w:t>.013 or 1.3%</w:t>
            </w:r>
          </w:p>
        </w:tc>
      </w:tr>
    </w:tbl>
    <w:p w14:paraId="6F664324" w14:textId="77777777" w:rsidR="00484433" w:rsidRPr="00E33B17" w:rsidRDefault="00484433" w:rsidP="00E33B17"/>
    <w:p w14:paraId="5877DB7D" w14:textId="35477F8E" w:rsidR="009E7C21" w:rsidRPr="004A7429" w:rsidRDefault="00614D26">
      <w:pPr>
        <w:pStyle w:val="Heading2"/>
      </w:pPr>
      <w:bookmarkStart w:id="168" w:name="_Toc134117607"/>
      <w:bookmarkStart w:id="169" w:name="_Toc134117608"/>
      <w:bookmarkStart w:id="170" w:name="_Toc134117609"/>
      <w:bookmarkStart w:id="171" w:name="_Toc134117610"/>
      <w:bookmarkStart w:id="172" w:name="_Toc134117611"/>
      <w:bookmarkStart w:id="173" w:name="_Toc134117612"/>
      <w:bookmarkStart w:id="174" w:name="_Toc134117613"/>
      <w:bookmarkStart w:id="175" w:name="_Toc134117614"/>
      <w:bookmarkStart w:id="176" w:name="_Toc134117615"/>
      <w:bookmarkStart w:id="177" w:name="_Toc134117616"/>
      <w:bookmarkStart w:id="178" w:name="_Toc134117617"/>
      <w:bookmarkEnd w:id="168"/>
      <w:bookmarkEnd w:id="169"/>
      <w:bookmarkEnd w:id="170"/>
      <w:bookmarkEnd w:id="171"/>
      <w:bookmarkEnd w:id="172"/>
      <w:bookmarkEnd w:id="173"/>
      <w:bookmarkEnd w:id="174"/>
      <w:bookmarkEnd w:id="175"/>
      <w:bookmarkEnd w:id="176"/>
      <w:bookmarkEnd w:id="177"/>
      <w:r w:rsidRPr="004A7429">
        <w:lastRenderedPageBreak/>
        <w:t>Access to Crisis Response Services</w:t>
      </w:r>
      <w:bookmarkEnd w:id="178"/>
    </w:p>
    <w:p w14:paraId="092C3077" w14:textId="06FFA82B" w:rsidR="009E7C21" w:rsidRPr="00E33B17" w:rsidRDefault="009E7C21">
      <w:pPr>
        <w:pStyle w:val="ListParagraph"/>
        <w:numPr>
          <w:ilvl w:val="2"/>
          <w:numId w:val="28"/>
        </w:numPr>
        <w:spacing w:before="120" w:after="120"/>
      </w:pPr>
      <w:r w:rsidRPr="00E33B17">
        <w:t>Target:</w:t>
      </w:r>
      <w:r w:rsidR="00614D26" w:rsidRPr="00E33B17">
        <w:t xml:space="preserve"> </w:t>
      </w:r>
      <w:r w:rsidR="005E5622" w:rsidRPr="00E33B17">
        <w:t xml:space="preserve">At least </w:t>
      </w:r>
      <w:r w:rsidR="0018339C" w:rsidRPr="00E33B17">
        <w:t>61.9%</w:t>
      </w:r>
      <w:r w:rsidR="005E5622" w:rsidRPr="00E33B17">
        <w:t xml:space="preserve"> of </w:t>
      </w:r>
      <w:r w:rsidR="00614D26" w:rsidRPr="00E33B17">
        <w:t xml:space="preserve">crisis hotline calls </w:t>
      </w:r>
      <w:r w:rsidR="00C9118A" w:rsidRPr="00E33B17">
        <w:t xml:space="preserve">shall </w:t>
      </w:r>
      <w:r w:rsidR="00614D26" w:rsidRPr="00E33B17">
        <w:t>result</w:t>
      </w:r>
      <w:r w:rsidR="00614D26" w:rsidRPr="00C72DF1">
        <w:t xml:space="preserve"> </w:t>
      </w:r>
      <w:r w:rsidR="00614D26" w:rsidRPr="00E33B17">
        <w:t xml:space="preserve">in </w:t>
      </w:r>
      <w:r w:rsidR="00922A95" w:rsidRPr="00E33B17">
        <w:t>in-person, synchronous audiovisual, or synchronous audio-only</w:t>
      </w:r>
      <w:r w:rsidR="00614D26" w:rsidRPr="00C72DF1">
        <w:t xml:space="preserve"> </w:t>
      </w:r>
      <w:r w:rsidR="00614D26" w:rsidRPr="00E33B17">
        <w:t>encounters</w:t>
      </w:r>
      <w:r w:rsidRPr="00E33B17">
        <w:t>.</w:t>
      </w:r>
    </w:p>
    <w:p w14:paraId="7F4C07D7" w14:textId="1DB69E44" w:rsidR="009E7C21" w:rsidRPr="00E33B17" w:rsidRDefault="009E7C21">
      <w:pPr>
        <w:pStyle w:val="ListParagraph"/>
        <w:numPr>
          <w:ilvl w:val="2"/>
          <w:numId w:val="28"/>
        </w:numPr>
        <w:spacing w:before="120" w:after="120"/>
      </w:pPr>
      <w:r w:rsidRPr="00E33B17">
        <w:t>Calculation</w:t>
      </w:r>
      <w:r w:rsidR="0068270A">
        <w:t xml:space="preserve">: </w:t>
      </w:r>
      <w:r w:rsidRPr="00E33B17">
        <w:t>(Numerator/Denominator</w:t>
      </w:r>
      <w:r w:rsidR="00C72DF1">
        <w:t xml:space="preserve">) * </w:t>
      </w:r>
      <w:r w:rsidRPr="00E33B17">
        <w:t>100</w:t>
      </w:r>
    </w:p>
    <w:p w14:paraId="22D5AF4E" w14:textId="4B1D81C7" w:rsidR="009E7C21" w:rsidRPr="00E33B17" w:rsidRDefault="009E7C21">
      <w:pPr>
        <w:pStyle w:val="ListParagraph"/>
        <w:numPr>
          <w:ilvl w:val="2"/>
          <w:numId w:val="28"/>
        </w:numPr>
        <w:spacing w:before="120" w:after="120"/>
      </w:pPr>
      <w:r w:rsidRPr="00E33B17">
        <w:t>Numerator:</w:t>
      </w:r>
      <w:r w:rsidR="00BD6100" w:rsidRPr="00E33B17">
        <w:t xml:space="preserve"> The number of </w:t>
      </w:r>
      <w:r w:rsidR="009143E4" w:rsidRPr="00E33B17">
        <w:t xml:space="preserve">in-person, </w:t>
      </w:r>
      <w:r w:rsidR="00CB5693" w:rsidRPr="00E33B17">
        <w:t>synchronous audiovisual</w:t>
      </w:r>
      <w:r w:rsidR="009143E4" w:rsidRPr="00E33B17">
        <w:t xml:space="preserve">, or </w:t>
      </w:r>
      <w:r w:rsidR="00CB5693" w:rsidRPr="00E33B17">
        <w:t>synchronous audio-only</w:t>
      </w:r>
      <w:r w:rsidR="00BD6100" w:rsidRPr="00E33B17">
        <w:t xml:space="preserve"> services occurring on the same day or within one day of a hotline call</w:t>
      </w:r>
      <w:r w:rsidRPr="00E33B17">
        <w:t>.</w:t>
      </w:r>
    </w:p>
    <w:p w14:paraId="7AB301E6" w14:textId="77777777" w:rsidR="009E7C21" w:rsidRPr="00E33B17" w:rsidRDefault="009E7C21">
      <w:pPr>
        <w:pStyle w:val="ListParagraph"/>
        <w:numPr>
          <w:ilvl w:val="2"/>
          <w:numId w:val="28"/>
        </w:numPr>
        <w:spacing w:before="120" w:after="120"/>
      </w:pPr>
      <w:r w:rsidRPr="00E33B17">
        <w:t>Denominator:</w:t>
      </w:r>
      <w:r w:rsidR="00BD6100" w:rsidRPr="00E33B17">
        <w:t xml:space="preserve"> The total number of hotline calls</w:t>
      </w:r>
      <w:r w:rsidR="00C9118A" w:rsidRPr="00E33B17">
        <w:t xml:space="preserve"> in the measurement period</w:t>
      </w:r>
      <w:r w:rsidRPr="00E33B17">
        <w:t>.</w:t>
      </w:r>
    </w:p>
    <w:p w14:paraId="405CC818" w14:textId="77777777" w:rsidR="00E6226C" w:rsidRPr="00E33B17" w:rsidRDefault="009E7C21">
      <w:pPr>
        <w:pStyle w:val="ListParagraph"/>
        <w:numPr>
          <w:ilvl w:val="2"/>
          <w:numId w:val="28"/>
        </w:numPr>
        <w:spacing w:before="120" w:after="120"/>
      </w:pPr>
      <w:r w:rsidRPr="00E33B17">
        <w:t xml:space="preserve">Exclusion(s)/Exception(s): </w:t>
      </w:r>
    </w:p>
    <w:p w14:paraId="42751E28" w14:textId="77777777" w:rsidR="009E7C21" w:rsidRPr="00E33B17" w:rsidRDefault="00BD6100">
      <w:pPr>
        <w:pStyle w:val="ListParagraph"/>
        <w:numPr>
          <w:ilvl w:val="3"/>
          <w:numId w:val="28"/>
        </w:numPr>
        <w:spacing w:before="120" w:after="120"/>
      </w:pPr>
      <w:r w:rsidRPr="00E33B17">
        <w:t>Hotline calls that are false alarms</w:t>
      </w:r>
      <w:r w:rsidR="008A02E7" w:rsidRPr="00E33B17">
        <w:t>,</w:t>
      </w:r>
      <w:r w:rsidRPr="00E33B17">
        <w:t xml:space="preserve"> zero time crisis calls</w:t>
      </w:r>
      <w:r w:rsidR="008A02E7" w:rsidRPr="00E33B17">
        <w:t>,</w:t>
      </w:r>
      <w:r w:rsidRPr="00E33B17">
        <w:t xml:space="preserve"> and no shows (unseen).</w:t>
      </w:r>
    </w:p>
    <w:p w14:paraId="2212AB6A" w14:textId="77777777" w:rsidR="00E6226C" w:rsidRPr="00E33B17" w:rsidRDefault="00E6226C">
      <w:pPr>
        <w:pStyle w:val="ListParagraph"/>
        <w:numPr>
          <w:ilvl w:val="3"/>
          <w:numId w:val="28"/>
        </w:numPr>
        <w:spacing w:before="120" w:after="120"/>
      </w:pPr>
      <w:r w:rsidRPr="00E33B17">
        <w:t>Hotline calls with no CARE identification numbers.</w:t>
      </w:r>
    </w:p>
    <w:p w14:paraId="55628220" w14:textId="482494E1" w:rsidR="009E7C21" w:rsidRDefault="009E7C21">
      <w:pPr>
        <w:pStyle w:val="ListParagraph"/>
        <w:numPr>
          <w:ilvl w:val="2"/>
          <w:numId w:val="28"/>
        </w:numPr>
        <w:spacing w:before="120" w:after="120"/>
      </w:pPr>
      <w:r w:rsidRPr="00E33B17">
        <w:t>Data Source</w:t>
      </w:r>
      <w:r w:rsidR="0068270A">
        <w:t xml:space="preserve">: </w:t>
      </w:r>
      <w:r w:rsidRPr="00E33B17">
        <w:t>CMBHS and MBOW.</w:t>
      </w:r>
    </w:p>
    <w:p w14:paraId="0F25E622" w14:textId="77777777" w:rsidR="000451C4" w:rsidRPr="00E33B17" w:rsidRDefault="000451C4" w:rsidP="00C72DF1">
      <w:pPr>
        <w:spacing w:before="120" w:after="120"/>
      </w:pPr>
    </w:p>
    <w:p w14:paraId="53950398" w14:textId="2FC7E376" w:rsidR="00614D26" w:rsidRPr="004A7429" w:rsidRDefault="00614D26">
      <w:pPr>
        <w:pStyle w:val="Heading2"/>
      </w:pPr>
      <w:bookmarkStart w:id="179" w:name="_Toc134117618"/>
      <w:bookmarkStart w:id="180" w:name="_Toc134117619"/>
      <w:bookmarkStart w:id="181" w:name="_Toc134117620"/>
      <w:bookmarkStart w:id="182" w:name="_Toc134117621"/>
      <w:bookmarkStart w:id="183" w:name="_Toc134117622"/>
      <w:bookmarkStart w:id="184" w:name="_Toc134117623"/>
      <w:bookmarkStart w:id="185" w:name="_Toc134117624"/>
      <w:bookmarkStart w:id="186" w:name="_Toc134117625"/>
      <w:bookmarkStart w:id="187" w:name="_Toc134117626"/>
      <w:bookmarkStart w:id="188" w:name="_Toc134117627"/>
      <w:bookmarkStart w:id="189" w:name="_Toc134117628"/>
      <w:bookmarkStart w:id="190" w:name="_Toc134117629"/>
      <w:bookmarkStart w:id="191" w:name="_Toc134117630"/>
      <w:bookmarkStart w:id="192" w:name="_Toc134117631"/>
      <w:bookmarkStart w:id="193" w:name="_Toc134117632"/>
      <w:bookmarkStart w:id="194" w:name="_Toc134117633"/>
      <w:bookmarkStart w:id="195" w:name="_Toc13411763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4A7429">
        <w:t>Adult Jail Diversion</w:t>
      </w:r>
      <w:bookmarkEnd w:id="195"/>
    </w:p>
    <w:p w14:paraId="16B7C83F" w14:textId="77777777" w:rsidR="00614D26" w:rsidRPr="00E33B17" w:rsidRDefault="00614D26">
      <w:pPr>
        <w:pStyle w:val="ListParagraph"/>
        <w:numPr>
          <w:ilvl w:val="2"/>
          <w:numId w:val="29"/>
        </w:numPr>
        <w:spacing w:before="120" w:after="120"/>
      </w:pPr>
      <w:r w:rsidRPr="00E33B17">
        <w:t>Target:</w:t>
      </w:r>
      <w:r w:rsidR="00E13D08" w:rsidRPr="00E33B17">
        <w:t xml:space="preserve"> The equity</w:t>
      </w:r>
      <w:r w:rsidR="007D2683" w:rsidRPr="00E33B17">
        <w:t>–</w:t>
      </w:r>
      <w:r w:rsidR="00E13D08" w:rsidRPr="00E33B17">
        <w:t xml:space="preserve">adjusted percentage </w:t>
      </w:r>
      <w:r w:rsidR="00E13D08" w:rsidRPr="00C72DF1">
        <w:t>of</w:t>
      </w:r>
      <w:r w:rsidR="00E13D08" w:rsidRPr="00E33B17">
        <w:t xml:space="preserve"> valid Texas</w:t>
      </w:r>
      <w:r w:rsidR="00E13D08" w:rsidRPr="00C72DF1">
        <w:t xml:space="preserve"> Law </w:t>
      </w:r>
      <w:r w:rsidR="00E13D08" w:rsidRPr="00E33B17">
        <w:t>Enforcement Telecommunications System (TLETS) bookings across the adult</w:t>
      </w:r>
      <w:r w:rsidR="00E13D08" w:rsidRPr="00C72DF1">
        <w:t xml:space="preserve"> </w:t>
      </w:r>
      <w:r w:rsidR="00E13D08" w:rsidRPr="00E33B17">
        <w:t>population with a match in CARE shall be less than or equal to 10.46%</w:t>
      </w:r>
      <w:r w:rsidRPr="00E33B17">
        <w:t>.</w:t>
      </w:r>
    </w:p>
    <w:p w14:paraId="2389CD30" w14:textId="75CBFE0F" w:rsidR="00614D26" w:rsidRPr="00E33B17" w:rsidRDefault="00614D26">
      <w:pPr>
        <w:pStyle w:val="ListParagraph"/>
        <w:numPr>
          <w:ilvl w:val="2"/>
          <w:numId w:val="29"/>
        </w:numPr>
        <w:spacing w:before="120" w:after="120"/>
      </w:pPr>
      <w:r w:rsidRPr="00E33B17">
        <w:t>Calculation: (Numerator/Denominator</w:t>
      </w:r>
      <w:r w:rsidR="00C72DF1">
        <w:t xml:space="preserve">) * </w:t>
      </w:r>
      <w:r w:rsidRPr="00E33B17">
        <w:t>100</w:t>
      </w:r>
    </w:p>
    <w:p w14:paraId="78917C08" w14:textId="2DDE7877" w:rsidR="00614D26" w:rsidRPr="00E33B17" w:rsidRDefault="00614D26">
      <w:pPr>
        <w:pStyle w:val="ListParagraph"/>
        <w:numPr>
          <w:ilvl w:val="2"/>
          <w:numId w:val="29"/>
        </w:numPr>
        <w:spacing w:before="120" w:after="120"/>
      </w:pPr>
      <w:r w:rsidRPr="00E33B17">
        <w:t>Numerator:</w:t>
      </w:r>
      <w:r w:rsidR="008A02E7" w:rsidRPr="00E33B17">
        <w:t xml:space="preserve"> The number of valid TLETS bookings in the local service area with a CARE match multiplied by the LMHA</w:t>
      </w:r>
      <w:r w:rsidR="000A028A" w:rsidRPr="00E33B17">
        <w:t>/LBHA</w:t>
      </w:r>
      <w:r w:rsidR="008A02E7" w:rsidRPr="00E33B17">
        <w:t>’s equity factor. The match criterion is 5 of the 6 elements must match. Elements include: first name; last name; date of birth; race; gender; and social security number. If the unmatched element is the social security number at least 7 of the 9 digits in the social security number must match. Additionally, matched consumers must have an associated Continuity of CARE Match</w:t>
      </w:r>
      <w:r w:rsidRPr="00E33B17">
        <w:t>.</w:t>
      </w:r>
    </w:p>
    <w:p w14:paraId="005037B2" w14:textId="77777777" w:rsidR="00614D26" w:rsidRPr="00E33B17" w:rsidRDefault="00614D26">
      <w:pPr>
        <w:pStyle w:val="ListParagraph"/>
        <w:numPr>
          <w:ilvl w:val="2"/>
          <w:numId w:val="29"/>
        </w:numPr>
        <w:spacing w:before="120" w:after="120"/>
      </w:pPr>
      <w:r w:rsidRPr="00E33B17">
        <w:t>Denominator:</w:t>
      </w:r>
      <w:r w:rsidR="008A02E7" w:rsidRPr="00E33B17">
        <w:t xml:space="preserve"> The number of valid TLETS bookings in the local service area. A valid booking is one that includes all 6 of the elements</w:t>
      </w:r>
      <w:r w:rsidRPr="00E33B17">
        <w:t>.</w:t>
      </w:r>
    </w:p>
    <w:p w14:paraId="207553A6" w14:textId="77777777" w:rsidR="00614D26" w:rsidRPr="00E33B17" w:rsidRDefault="00614D26">
      <w:pPr>
        <w:pStyle w:val="ListParagraph"/>
        <w:numPr>
          <w:ilvl w:val="2"/>
          <w:numId w:val="29"/>
        </w:numPr>
        <w:spacing w:before="120" w:after="120"/>
      </w:pPr>
      <w:r w:rsidRPr="00E33B17">
        <w:t>Exclusion(s)/Exception(s): N/A</w:t>
      </w:r>
    </w:p>
    <w:p w14:paraId="169D6176" w14:textId="210AED47" w:rsidR="00614D26" w:rsidRPr="00E33B17" w:rsidRDefault="00614D26">
      <w:pPr>
        <w:pStyle w:val="ListParagraph"/>
        <w:numPr>
          <w:ilvl w:val="2"/>
          <w:numId w:val="29"/>
        </w:numPr>
        <w:spacing w:before="120" w:after="120"/>
      </w:pPr>
      <w:r w:rsidRPr="00E33B17">
        <w:t xml:space="preserve">Data Source: </w:t>
      </w:r>
      <w:r w:rsidR="008A02E7" w:rsidRPr="00E33B17">
        <w:t>Texas Law Enforcement Telecommunications System (TLETS), CARE, CMBHS, and MBOW</w:t>
      </w:r>
      <w:r w:rsidRPr="00E33B17">
        <w:t>.</w:t>
      </w:r>
    </w:p>
    <w:p w14:paraId="2EB0B633" w14:textId="77777777" w:rsidR="008A02E7" w:rsidRPr="00E33B17" w:rsidRDefault="008A02E7">
      <w:pPr>
        <w:pStyle w:val="ListParagraph"/>
        <w:numPr>
          <w:ilvl w:val="2"/>
          <w:numId w:val="29"/>
        </w:numPr>
        <w:spacing w:before="120" w:after="120"/>
      </w:pPr>
      <w:r w:rsidRPr="00E33B17">
        <w:t>Example:</w:t>
      </w:r>
    </w:p>
    <w:tbl>
      <w:tblPr>
        <w:tblStyle w:val="TableGrid"/>
        <w:tblW w:w="9543" w:type="dxa"/>
        <w:jc w:val="center"/>
        <w:tblCellMar>
          <w:top w:w="72" w:type="dxa"/>
          <w:left w:w="115" w:type="dxa"/>
          <w:bottom w:w="72" w:type="dxa"/>
          <w:right w:w="115" w:type="dxa"/>
        </w:tblCellMar>
        <w:tblLook w:val="04A0" w:firstRow="1" w:lastRow="0" w:firstColumn="1" w:lastColumn="0" w:noHBand="0" w:noVBand="1"/>
        <w:tblCaption w:val="Calculation for Jail Diversion Outcome"/>
      </w:tblPr>
      <w:tblGrid>
        <w:gridCol w:w="1467"/>
        <w:gridCol w:w="1467"/>
        <w:gridCol w:w="1317"/>
        <w:gridCol w:w="1887"/>
        <w:gridCol w:w="2042"/>
        <w:gridCol w:w="1956"/>
      </w:tblGrid>
      <w:tr w:rsidR="00C35A98" w:rsidRPr="00E33B17" w14:paraId="61466D2B" w14:textId="77777777" w:rsidTr="00C72DF1">
        <w:trPr>
          <w:trHeight w:val="2267"/>
          <w:tblHeader/>
          <w:jc w:val="center"/>
        </w:trPr>
        <w:tc>
          <w:tcPr>
            <w:tcW w:w="1385" w:type="dxa"/>
            <w:tcBorders>
              <w:top w:val="single" w:sz="4" w:space="0" w:color="auto"/>
              <w:left w:val="single" w:sz="4" w:space="0" w:color="auto"/>
              <w:bottom w:val="single" w:sz="4" w:space="0" w:color="auto"/>
              <w:right w:val="single" w:sz="4" w:space="0" w:color="auto"/>
            </w:tcBorders>
            <w:hideMark/>
          </w:tcPr>
          <w:p w14:paraId="4C4A7D32" w14:textId="77777777" w:rsidR="00C35A98" w:rsidRPr="00C72DF1" w:rsidRDefault="00C35A98" w:rsidP="00C72DF1">
            <w:pPr>
              <w:rPr>
                <w:b/>
                <w:bCs/>
              </w:rPr>
            </w:pPr>
            <w:r w:rsidRPr="00C72DF1">
              <w:rPr>
                <w:b/>
                <w:bCs/>
              </w:rPr>
              <w:lastRenderedPageBreak/>
              <w:t>Valid TLETS Bookings</w:t>
            </w:r>
          </w:p>
        </w:tc>
        <w:tc>
          <w:tcPr>
            <w:tcW w:w="1384" w:type="dxa"/>
            <w:tcBorders>
              <w:top w:val="single" w:sz="4" w:space="0" w:color="auto"/>
              <w:left w:val="single" w:sz="4" w:space="0" w:color="auto"/>
              <w:bottom w:val="single" w:sz="4" w:space="0" w:color="auto"/>
              <w:right w:val="single" w:sz="4" w:space="0" w:color="auto"/>
            </w:tcBorders>
            <w:hideMark/>
          </w:tcPr>
          <w:p w14:paraId="60B1C99E" w14:textId="77777777" w:rsidR="00C35A98" w:rsidRPr="00C72DF1" w:rsidRDefault="00C35A98" w:rsidP="00C72DF1">
            <w:pPr>
              <w:rPr>
                <w:b/>
                <w:bCs/>
              </w:rPr>
            </w:pPr>
            <w:r w:rsidRPr="00C72DF1">
              <w:rPr>
                <w:b/>
                <w:bCs/>
              </w:rPr>
              <w:t>Valid TLETS Bookings with a CARE Match</w:t>
            </w:r>
          </w:p>
        </w:tc>
        <w:tc>
          <w:tcPr>
            <w:tcW w:w="1244" w:type="dxa"/>
            <w:tcBorders>
              <w:top w:val="single" w:sz="4" w:space="0" w:color="auto"/>
              <w:left w:val="single" w:sz="4" w:space="0" w:color="auto"/>
              <w:bottom w:val="single" w:sz="4" w:space="0" w:color="auto"/>
              <w:right w:val="single" w:sz="4" w:space="0" w:color="auto"/>
            </w:tcBorders>
            <w:hideMark/>
          </w:tcPr>
          <w:p w14:paraId="1F90A62A" w14:textId="77777777" w:rsidR="00C35A98" w:rsidRPr="00C72DF1" w:rsidRDefault="00C35A98" w:rsidP="00C72DF1">
            <w:pPr>
              <w:rPr>
                <w:b/>
                <w:bCs/>
              </w:rPr>
            </w:pPr>
            <w:r w:rsidRPr="00C72DF1">
              <w:rPr>
                <w:b/>
                <w:bCs/>
              </w:rPr>
              <w:t>Per Capita Funding</w:t>
            </w:r>
          </w:p>
        </w:tc>
        <w:tc>
          <w:tcPr>
            <w:tcW w:w="1774" w:type="dxa"/>
            <w:tcBorders>
              <w:top w:val="single" w:sz="4" w:space="0" w:color="auto"/>
              <w:left w:val="single" w:sz="4" w:space="0" w:color="auto"/>
              <w:bottom w:val="single" w:sz="4" w:space="0" w:color="auto"/>
              <w:right w:val="single" w:sz="4" w:space="0" w:color="auto"/>
            </w:tcBorders>
            <w:hideMark/>
          </w:tcPr>
          <w:p w14:paraId="0B436517" w14:textId="77777777" w:rsidR="00C35A98" w:rsidRPr="00C72DF1" w:rsidRDefault="00C35A98" w:rsidP="00C72DF1">
            <w:pPr>
              <w:rPr>
                <w:b/>
                <w:bCs/>
              </w:rPr>
            </w:pPr>
            <w:r w:rsidRPr="00C72DF1">
              <w:rPr>
                <w:b/>
                <w:bCs/>
              </w:rPr>
              <w:t>Per Capita Funding of highest ranking LMHA</w:t>
            </w:r>
            <w:r w:rsidR="000A028A" w:rsidRPr="00C72DF1">
              <w:rPr>
                <w:b/>
                <w:bCs/>
              </w:rPr>
              <w:t>/LBHA</w:t>
            </w:r>
          </w:p>
        </w:tc>
        <w:tc>
          <w:tcPr>
            <w:tcW w:w="1918" w:type="dxa"/>
            <w:tcBorders>
              <w:top w:val="single" w:sz="4" w:space="0" w:color="auto"/>
              <w:left w:val="single" w:sz="4" w:space="0" w:color="auto"/>
              <w:bottom w:val="single" w:sz="4" w:space="0" w:color="auto"/>
              <w:right w:val="single" w:sz="4" w:space="0" w:color="auto"/>
            </w:tcBorders>
            <w:hideMark/>
          </w:tcPr>
          <w:p w14:paraId="3389CFF0" w14:textId="77777777" w:rsidR="00C35A98" w:rsidRPr="00C72DF1" w:rsidRDefault="00C35A98" w:rsidP="00C72DF1">
            <w:pPr>
              <w:rPr>
                <w:b/>
                <w:bCs/>
              </w:rPr>
            </w:pPr>
            <w:r w:rsidRPr="00C72DF1">
              <w:rPr>
                <w:b/>
                <w:bCs/>
              </w:rPr>
              <w:t>Calculation</w:t>
            </w:r>
          </w:p>
        </w:tc>
        <w:tc>
          <w:tcPr>
            <w:tcW w:w="1838" w:type="dxa"/>
            <w:tcBorders>
              <w:top w:val="single" w:sz="4" w:space="0" w:color="auto"/>
              <w:left w:val="single" w:sz="4" w:space="0" w:color="auto"/>
              <w:bottom w:val="single" w:sz="4" w:space="0" w:color="auto"/>
              <w:right w:val="single" w:sz="4" w:space="0" w:color="auto"/>
            </w:tcBorders>
            <w:hideMark/>
          </w:tcPr>
          <w:p w14:paraId="48FB06F3" w14:textId="77777777" w:rsidR="00C35A98" w:rsidRPr="00C72DF1" w:rsidRDefault="00C35A98" w:rsidP="00C72DF1">
            <w:pPr>
              <w:rPr>
                <w:b/>
                <w:bCs/>
              </w:rPr>
            </w:pPr>
            <w:r w:rsidRPr="00C72DF1">
              <w:rPr>
                <w:b/>
                <w:bCs/>
              </w:rPr>
              <w:t>Equity</w:t>
            </w:r>
            <w:r w:rsidR="007D2683" w:rsidRPr="00C72DF1">
              <w:rPr>
                <w:b/>
                <w:bCs/>
              </w:rPr>
              <w:t>–</w:t>
            </w:r>
            <w:r w:rsidRPr="00C72DF1">
              <w:rPr>
                <w:b/>
                <w:bCs/>
              </w:rPr>
              <w:t>adjusted Performance</w:t>
            </w:r>
          </w:p>
        </w:tc>
      </w:tr>
      <w:tr w:rsidR="00C35A98" w:rsidRPr="00E33B17" w14:paraId="14E436F2" w14:textId="77777777" w:rsidTr="00C72DF1">
        <w:trPr>
          <w:trHeight w:val="1041"/>
          <w:jc w:val="center"/>
        </w:trPr>
        <w:tc>
          <w:tcPr>
            <w:tcW w:w="1385" w:type="dxa"/>
            <w:tcBorders>
              <w:top w:val="single" w:sz="4" w:space="0" w:color="auto"/>
              <w:left w:val="single" w:sz="4" w:space="0" w:color="auto"/>
              <w:bottom w:val="single" w:sz="4" w:space="0" w:color="auto"/>
              <w:right w:val="single" w:sz="4" w:space="0" w:color="auto"/>
            </w:tcBorders>
            <w:vAlign w:val="center"/>
            <w:hideMark/>
          </w:tcPr>
          <w:p w14:paraId="65D7031B" w14:textId="77777777" w:rsidR="00C35A98" w:rsidRPr="00C72DF1" w:rsidRDefault="00C35A98" w:rsidP="00C72DF1">
            <w:r w:rsidRPr="00C72DF1">
              <w:t>2500</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49EFFA6" w14:textId="77777777" w:rsidR="00C35A98" w:rsidRPr="00C72DF1" w:rsidRDefault="00C35A98" w:rsidP="00C72DF1">
            <w:r w:rsidRPr="00C72DF1">
              <w:t>250</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2C238CD" w14:textId="77777777" w:rsidR="00C35A98" w:rsidRPr="00C72DF1" w:rsidRDefault="00C35A98" w:rsidP="00C72DF1">
            <w:r w:rsidRPr="00C72DF1">
              <w:t>$20.00</w:t>
            </w:r>
          </w:p>
        </w:tc>
        <w:tc>
          <w:tcPr>
            <w:tcW w:w="1774" w:type="dxa"/>
            <w:tcBorders>
              <w:top w:val="single" w:sz="4" w:space="0" w:color="auto"/>
              <w:left w:val="single" w:sz="4" w:space="0" w:color="auto"/>
              <w:bottom w:val="single" w:sz="4" w:space="0" w:color="auto"/>
              <w:right w:val="single" w:sz="4" w:space="0" w:color="auto"/>
            </w:tcBorders>
            <w:vAlign w:val="center"/>
            <w:hideMark/>
          </w:tcPr>
          <w:p w14:paraId="500A04D6" w14:textId="77777777" w:rsidR="00C35A98" w:rsidRPr="00C72DF1" w:rsidRDefault="00C35A98" w:rsidP="00C72DF1">
            <w:r w:rsidRPr="00C72DF1">
              <w:t>$30.00</w:t>
            </w:r>
          </w:p>
        </w:tc>
        <w:tc>
          <w:tcPr>
            <w:tcW w:w="1918" w:type="dxa"/>
            <w:tcBorders>
              <w:top w:val="single" w:sz="4" w:space="0" w:color="auto"/>
              <w:left w:val="single" w:sz="4" w:space="0" w:color="auto"/>
              <w:bottom w:val="single" w:sz="4" w:space="0" w:color="auto"/>
              <w:right w:val="single" w:sz="4" w:space="0" w:color="auto"/>
            </w:tcBorders>
            <w:vAlign w:val="center"/>
            <w:hideMark/>
          </w:tcPr>
          <w:p w14:paraId="2B6862F4" w14:textId="77777777" w:rsidR="00C35A98" w:rsidRPr="00C72DF1" w:rsidRDefault="00000000" w:rsidP="00C72DF1">
            <m:oMathPara>
              <m:oMath>
                <m:f>
                  <m:fPr>
                    <m:ctrlPr>
                      <w:rPr>
                        <w:rFonts w:ascii="Cambria Math" w:hAnsi="Cambria Math"/>
                        <w:i/>
                      </w:rPr>
                    </m:ctrlPr>
                  </m:fPr>
                  <m:num>
                    <m:d>
                      <m:dPr>
                        <m:begChr m:val="["/>
                        <m:endChr m:val="]"/>
                        <m:ctrlPr>
                          <w:rPr>
                            <w:rFonts w:ascii="Cambria Math" w:hAnsi="Cambria Math"/>
                            <w:i/>
                          </w:rPr>
                        </m:ctrlPr>
                      </m:dPr>
                      <m:e>
                        <m:d>
                          <m:dPr>
                            <m:ctrlPr>
                              <w:rPr>
                                <w:rFonts w:ascii="Cambria Math" w:hAnsi="Cambria Math"/>
                                <w:i/>
                              </w:rPr>
                            </m:ctrlPr>
                          </m:dPr>
                          <m:e>
                            <m:r>
                              <w:rPr>
                                <w:rFonts w:ascii="Cambria Math" w:hAnsi="Cambria Math"/>
                              </w:rPr>
                              <m:t>250</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20.00</m:t>
                                </m:r>
                              </m:num>
                              <m:den>
                                <m:r>
                                  <w:rPr>
                                    <w:rFonts w:ascii="Cambria Math" w:hAnsi="Cambria Math"/>
                                  </w:rPr>
                                  <m:t>30.00</m:t>
                                </m:r>
                              </m:den>
                            </m:f>
                          </m:e>
                        </m:d>
                      </m:e>
                    </m:d>
                  </m:num>
                  <m:den>
                    <m:r>
                      <w:rPr>
                        <w:rFonts w:ascii="Cambria Math" w:hAnsi="Cambria Math"/>
                      </w:rPr>
                      <m:t>2,500</m:t>
                    </m:r>
                  </m:den>
                </m:f>
              </m:oMath>
            </m:oMathPara>
          </w:p>
        </w:tc>
        <w:tc>
          <w:tcPr>
            <w:tcW w:w="1838" w:type="dxa"/>
            <w:tcBorders>
              <w:top w:val="single" w:sz="4" w:space="0" w:color="auto"/>
              <w:left w:val="single" w:sz="4" w:space="0" w:color="auto"/>
              <w:bottom w:val="single" w:sz="4" w:space="0" w:color="auto"/>
              <w:right w:val="single" w:sz="4" w:space="0" w:color="auto"/>
            </w:tcBorders>
            <w:vAlign w:val="center"/>
            <w:hideMark/>
          </w:tcPr>
          <w:p w14:paraId="5EA902FB" w14:textId="77777777" w:rsidR="00C35A98" w:rsidRPr="00C72DF1" w:rsidRDefault="00C35A98" w:rsidP="00C72DF1">
            <w:r w:rsidRPr="00C72DF1">
              <w:t>.067 or 6.7%</w:t>
            </w:r>
          </w:p>
        </w:tc>
      </w:tr>
    </w:tbl>
    <w:p w14:paraId="6E6525F2" w14:textId="77777777" w:rsidR="007867F6" w:rsidRPr="00E33B17" w:rsidRDefault="007867F6" w:rsidP="00E33B17"/>
    <w:p w14:paraId="396DA0BD" w14:textId="527C3CBA" w:rsidR="00D265D6" w:rsidRPr="00C72DF1" w:rsidRDefault="00C35A98" w:rsidP="00C72DF1">
      <w:pPr>
        <w:jc w:val="center"/>
        <w:rPr>
          <w:b/>
          <w:bCs/>
        </w:rPr>
      </w:pPr>
      <w:r w:rsidRPr="00C72DF1">
        <w:rPr>
          <w:b/>
          <w:bCs/>
        </w:rPr>
        <w:t>The following measures will be benchm</w:t>
      </w:r>
      <w:r w:rsidR="00274411" w:rsidRPr="00C72DF1">
        <w:rPr>
          <w:b/>
          <w:bCs/>
        </w:rPr>
        <w:t>arked during fiscal year</w:t>
      </w:r>
      <w:r w:rsidR="00B63464" w:rsidRPr="00C72DF1">
        <w:rPr>
          <w:b/>
          <w:bCs/>
        </w:rPr>
        <w:t>s</w:t>
      </w:r>
      <w:r w:rsidR="00274411" w:rsidRPr="00C72DF1">
        <w:rPr>
          <w:b/>
          <w:bCs/>
        </w:rPr>
        <w:t xml:space="preserve"> 202</w:t>
      </w:r>
      <w:r w:rsidR="00B63464" w:rsidRPr="00C72DF1">
        <w:rPr>
          <w:b/>
          <w:bCs/>
        </w:rPr>
        <w:t>4-25</w:t>
      </w:r>
      <w:r w:rsidRPr="00C72DF1">
        <w:rPr>
          <w:b/>
          <w:bCs/>
        </w:rPr>
        <w:t xml:space="preserve">. </w:t>
      </w:r>
      <w:r w:rsidR="00274411" w:rsidRPr="00C72DF1">
        <w:rPr>
          <w:b/>
          <w:bCs/>
        </w:rPr>
        <w:t>No</w:t>
      </w:r>
      <w:r w:rsidRPr="00C72DF1">
        <w:rPr>
          <w:b/>
          <w:bCs/>
        </w:rPr>
        <w:t xml:space="preserve"> sanctions </w:t>
      </w:r>
      <w:r w:rsidR="00274411" w:rsidRPr="00C72DF1">
        <w:rPr>
          <w:b/>
          <w:bCs/>
        </w:rPr>
        <w:t xml:space="preserve">will be </w:t>
      </w:r>
      <w:r w:rsidRPr="00C72DF1">
        <w:rPr>
          <w:b/>
          <w:bCs/>
        </w:rPr>
        <w:t xml:space="preserve">assessed for these </w:t>
      </w:r>
      <w:r w:rsidR="00274411" w:rsidRPr="00C72DF1">
        <w:rPr>
          <w:b/>
          <w:bCs/>
        </w:rPr>
        <w:t>measures</w:t>
      </w:r>
      <w:r w:rsidRPr="00C72DF1">
        <w:rPr>
          <w:b/>
          <w:bCs/>
        </w:rPr>
        <w:t xml:space="preserve"> during the benchmarking </w:t>
      </w:r>
      <w:r w:rsidR="000451C4">
        <w:rPr>
          <w:b/>
          <w:bCs/>
        </w:rPr>
        <w:t>period</w:t>
      </w:r>
      <w:r w:rsidRPr="00C72DF1">
        <w:rPr>
          <w:b/>
          <w:bCs/>
        </w:rPr>
        <w:t>.</w:t>
      </w:r>
    </w:p>
    <w:p w14:paraId="3DBC34D3" w14:textId="77777777" w:rsidR="00C35A98" w:rsidRPr="00E33B17" w:rsidRDefault="00C35A98" w:rsidP="00C72DF1"/>
    <w:p w14:paraId="78434509" w14:textId="7066F7C6" w:rsidR="00673514" w:rsidRPr="004A7429" w:rsidRDefault="00673514">
      <w:pPr>
        <w:pStyle w:val="Heading2"/>
      </w:pPr>
      <w:bookmarkStart w:id="196" w:name="_Toc134117635"/>
      <w:r w:rsidRPr="004A7429">
        <w:t xml:space="preserve">Hospital </w:t>
      </w:r>
      <w:r w:rsidR="00274411" w:rsidRPr="004A7429">
        <w:t>30</w:t>
      </w:r>
      <w:r w:rsidR="007D2683" w:rsidRPr="004A7429">
        <w:t>–</w:t>
      </w:r>
      <w:r w:rsidR="00274411" w:rsidRPr="004A7429">
        <w:t xml:space="preserve">Day </w:t>
      </w:r>
      <w:r w:rsidRPr="004A7429">
        <w:t>Readmission</w:t>
      </w:r>
      <w:bookmarkEnd w:id="196"/>
    </w:p>
    <w:p w14:paraId="47BC67ED" w14:textId="6295C5AA" w:rsidR="00673514" w:rsidRPr="00E33B17" w:rsidRDefault="00673514">
      <w:pPr>
        <w:pStyle w:val="ListParagraph"/>
        <w:numPr>
          <w:ilvl w:val="2"/>
          <w:numId w:val="30"/>
        </w:numPr>
        <w:spacing w:before="120" w:after="120"/>
      </w:pPr>
      <w:r w:rsidRPr="00E33B17">
        <w:t xml:space="preserve">Target: </w:t>
      </w:r>
      <w:r w:rsidR="0018339C" w:rsidRPr="00E33B17">
        <w:t>No more than 10.2%</w:t>
      </w:r>
      <w:r w:rsidRPr="00E33B17">
        <w:t xml:space="preserve"> of adults</w:t>
      </w:r>
      <w:r w:rsidR="00C94BE4" w:rsidRPr="00E33B17">
        <w:t xml:space="preserve"> and</w:t>
      </w:r>
      <w:r w:rsidRPr="00E33B17">
        <w:t xml:space="preserve"> children</w:t>
      </w:r>
      <w:r w:rsidR="00C94BE4" w:rsidRPr="00E33B17">
        <w:t xml:space="preserve"> </w:t>
      </w:r>
      <w:r w:rsidRPr="00E33B17">
        <w:t xml:space="preserve">who are </w:t>
      </w:r>
      <w:r w:rsidR="004466F3" w:rsidRPr="00E33B17">
        <w:t>discharged from</w:t>
      </w:r>
      <w:r w:rsidRPr="00E33B17">
        <w:t xml:space="preserve"> </w:t>
      </w:r>
      <w:r w:rsidR="002B7ADC" w:rsidRPr="00E33B17">
        <w:t>a state hospital, a</w:t>
      </w:r>
      <w:r w:rsidR="00B235DF">
        <w:t>n</w:t>
      </w:r>
      <w:r w:rsidR="002B7ADC" w:rsidRPr="00E33B17">
        <w:t xml:space="preserve"> </w:t>
      </w:r>
      <w:r w:rsidR="00B235DF">
        <w:t>HHSC</w:t>
      </w:r>
      <w:r w:rsidR="002B7ADC" w:rsidRPr="00E33B17">
        <w:t xml:space="preserve"> Contracted Bed, a CMHH, or a PPB </w:t>
      </w:r>
      <w:r w:rsidR="0018339C" w:rsidRPr="00E33B17">
        <w:t>shall be</w:t>
      </w:r>
      <w:r w:rsidR="004466F3" w:rsidRPr="00E33B17">
        <w:t xml:space="preserve"> readmitted </w:t>
      </w:r>
      <w:r w:rsidRPr="00E33B17">
        <w:t>within 30 days of discharge.</w:t>
      </w:r>
    </w:p>
    <w:p w14:paraId="21EBBA1A" w14:textId="1D4DD48D" w:rsidR="00673514" w:rsidRPr="00E33B17" w:rsidRDefault="00673514">
      <w:pPr>
        <w:pStyle w:val="ListParagraph"/>
        <w:numPr>
          <w:ilvl w:val="2"/>
          <w:numId w:val="30"/>
        </w:numPr>
        <w:spacing w:before="120" w:after="120"/>
      </w:pPr>
      <w:r w:rsidRPr="00E33B17">
        <w:t>Calculation: (Numerator/Denominator</w:t>
      </w:r>
      <w:r w:rsidR="00C72DF1">
        <w:t xml:space="preserve">) * </w:t>
      </w:r>
      <w:r w:rsidRPr="00E33B17">
        <w:t>100</w:t>
      </w:r>
    </w:p>
    <w:p w14:paraId="6B4F4A77" w14:textId="4DDFDB18" w:rsidR="00673514" w:rsidRPr="00E33B17" w:rsidRDefault="00673514">
      <w:pPr>
        <w:pStyle w:val="ListParagraph"/>
        <w:numPr>
          <w:ilvl w:val="2"/>
          <w:numId w:val="30"/>
        </w:numPr>
        <w:spacing w:before="120" w:after="120"/>
      </w:pPr>
      <w:r w:rsidRPr="00E33B17">
        <w:t xml:space="preserve">Numerator: </w:t>
      </w:r>
      <w:r w:rsidR="00A36B0F" w:rsidRPr="00E33B17">
        <w:t>The n</w:t>
      </w:r>
      <w:r w:rsidR="00DD5F0B" w:rsidRPr="00E33B17">
        <w:t xml:space="preserve">umber </w:t>
      </w:r>
      <w:r w:rsidR="00C00318" w:rsidRPr="00E33B17">
        <w:t>readmitted</w:t>
      </w:r>
      <w:r w:rsidR="00DD5F0B" w:rsidRPr="00E33B17">
        <w:t xml:space="preserve"> to </w:t>
      </w:r>
      <w:r w:rsidR="00B235DF">
        <w:t>HHSC</w:t>
      </w:r>
      <w:r w:rsidR="002B7ADC" w:rsidRPr="00E33B17">
        <w:t xml:space="preserve"> </w:t>
      </w:r>
      <w:r w:rsidR="00122E1E" w:rsidRPr="00E33B17">
        <w:t xml:space="preserve">Inpatient </w:t>
      </w:r>
      <w:r w:rsidR="002B7ADC" w:rsidRPr="00E33B17">
        <w:t>Bed</w:t>
      </w:r>
      <w:r w:rsidR="00F2382F" w:rsidRPr="00E33B17">
        <w:t xml:space="preserve"> within</w:t>
      </w:r>
      <w:r w:rsidR="00DD5F0B" w:rsidRPr="00E33B17">
        <w:t xml:space="preserve"> 30 days after discharge.</w:t>
      </w:r>
    </w:p>
    <w:p w14:paraId="5BE89AF5" w14:textId="1FE51890" w:rsidR="00673514" w:rsidRPr="00E33B17" w:rsidRDefault="00673514">
      <w:pPr>
        <w:pStyle w:val="ListParagraph"/>
        <w:numPr>
          <w:ilvl w:val="2"/>
          <w:numId w:val="30"/>
        </w:numPr>
        <w:spacing w:before="120" w:after="120"/>
      </w:pPr>
      <w:r w:rsidRPr="00E33B17">
        <w:t xml:space="preserve">Denominator: </w:t>
      </w:r>
      <w:r w:rsidR="003B556E" w:rsidRPr="00E33B17">
        <w:t>The n</w:t>
      </w:r>
      <w:r w:rsidR="00220315" w:rsidRPr="00E33B17">
        <w:t xml:space="preserve">umber of individuals </w:t>
      </w:r>
      <w:r w:rsidR="006A7451" w:rsidRPr="00E33B17">
        <w:t xml:space="preserve">discharged from </w:t>
      </w:r>
      <w:r w:rsidR="002B7ADC" w:rsidRPr="00E33B17">
        <w:t>a state hospital, a</w:t>
      </w:r>
      <w:r w:rsidR="00B235DF">
        <w:t>n</w:t>
      </w:r>
      <w:r w:rsidR="002B7ADC" w:rsidRPr="00E33B17">
        <w:t xml:space="preserve"> </w:t>
      </w:r>
      <w:r w:rsidR="00B235DF">
        <w:t>HHSC</w:t>
      </w:r>
      <w:r w:rsidR="002B7ADC" w:rsidRPr="00E33B17">
        <w:t xml:space="preserve"> Contracted Bed, a CMHH, or a PPB </w:t>
      </w:r>
      <w:r w:rsidR="00AC45AB" w:rsidRPr="00E33B17">
        <w:t xml:space="preserve">and </w:t>
      </w:r>
      <w:r w:rsidR="000D3378" w:rsidRPr="00E33B17">
        <w:t>reassigned to the LMHA/LBHA</w:t>
      </w:r>
      <w:r w:rsidRPr="00E33B17">
        <w:t>.</w:t>
      </w:r>
    </w:p>
    <w:p w14:paraId="058DA038" w14:textId="77777777" w:rsidR="00673514" w:rsidRPr="00E33B17" w:rsidRDefault="00673514">
      <w:pPr>
        <w:pStyle w:val="ListParagraph"/>
        <w:numPr>
          <w:ilvl w:val="2"/>
          <w:numId w:val="30"/>
        </w:numPr>
        <w:spacing w:before="120" w:after="120"/>
      </w:pPr>
      <w:r w:rsidRPr="00E33B17">
        <w:t>Exclusion(s)/Exception(s):</w:t>
      </w:r>
      <w:r w:rsidR="00207B03" w:rsidRPr="00E33B17">
        <w:t xml:space="preserve"> The following situations are excluded:</w:t>
      </w:r>
    </w:p>
    <w:p w14:paraId="25483772" w14:textId="77777777" w:rsidR="00207B03" w:rsidRPr="00E33B17" w:rsidRDefault="00207B03">
      <w:pPr>
        <w:pStyle w:val="ListParagraph"/>
        <w:numPr>
          <w:ilvl w:val="3"/>
          <w:numId w:val="30"/>
        </w:numPr>
        <w:spacing w:before="120" w:after="120"/>
        <w:ind w:left="2880" w:hanging="720"/>
      </w:pPr>
      <w:r w:rsidRPr="00E33B17">
        <w:t>Arrest to Jail;</w:t>
      </w:r>
    </w:p>
    <w:p w14:paraId="5E83E59B" w14:textId="77777777" w:rsidR="00207B03" w:rsidRPr="00E33B17" w:rsidRDefault="00207B03">
      <w:pPr>
        <w:pStyle w:val="ListParagraph"/>
        <w:numPr>
          <w:ilvl w:val="3"/>
          <w:numId w:val="30"/>
        </w:numPr>
        <w:spacing w:before="120" w:after="120"/>
        <w:ind w:left="2880" w:hanging="720"/>
      </w:pPr>
      <w:r w:rsidRPr="00E33B17">
        <w:t>Court Release;</w:t>
      </w:r>
    </w:p>
    <w:p w14:paraId="050C594F" w14:textId="77777777" w:rsidR="00207B03" w:rsidRPr="00E33B17" w:rsidRDefault="00207B03">
      <w:pPr>
        <w:pStyle w:val="ListParagraph"/>
        <w:numPr>
          <w:ilvl w:val="3"/>
          <w:numId w:val="30"/>
        </w:numPr>
        <w:spacing w:before="120" w:after="120"/>
        <w:ind w:left="2880" w:hanging="720"/>
      </w:pPr>
      <w:r w:rsidRPr="00E33B17">
        <w:t>Children’s Protective Services;</w:t>
      </w:r>
    </w:p>
    <w:p w14:paraId="45CAD1B0" w14:textId="77777777" w:rsidR="00207B03" w:rsidRPr="00E33B17" w:rsidRDefault="00207B03">
      <w:pPr>
        <w:pStyle w:val="ListParagraph"/>
        <w:numPr>
          <w:ilvl w:val="3"/>
          <w:numId w:val="30"/>
        </w:numPr>
        <w:spacing w:before="120" w:after="120"/>
        <w:ind w:left="2880" w:hanging="720"/>
      </w:pPr>
      <w:r w:rsidRPr="00E33B17">
        <w:t>Involuntary Unauthorized Departure;</w:t>
      </w:r>
    </w:p>
    <w:p w14:paraId="10DB2A4D" w14:textId="77777777" w:rsidR="00207B03" w:rsidRPr="00E33B17" w:rsidRDefault="00207B03">
      <w:pPr>
        <w:pStyle w:val="ListParagraph"/>
        <w:numPr>
          <w:ilvl w:val="3"/>
          <w:numId w:val="30"/>
        </w:numPr>
        <w:spacing w:before="120" w:after="120"/>
        <w:ind w:left="2880" w:hanging="720"/>
      </w:pPr>
      <w:r w:rsidRPr="00E33B17">
        <w:t>Jail;</w:t>
      </w:r>
    </w:p>
    <w:p w14:paraId="42F28BE3" w14:textId="77777777" w:rsidR="00207B03" w:rsidRPr="00E33B17" w:rsidRDefault="00207B03">
      <w:pPr>
        <w:pStyle w:val="ListParagraph"/>
        <w:numPr>
          <w:ilvl w:val="3"/>
          <w:numId w:val="30"/>
        </w:numPr>
        <w:spacing w:before="120" w:after="120"/>
        <w:ind w:left="2880" w:hanging="720"/>
      </w:pPr>
      <w:r w:rsidRPr="00E33B17">
        <w:t>Medical Inpatient;</w:t>
      </w:r>
    </w:p>
    <w:p w14:paraId="6DED5AFB" w14:textId="77777777" w:rsidR="00207B03" w:rsidRPr="00E33B17" w:rsidRDefault="00207B03">
      <w:pPr>
        <w:pStyle w:val="ListParagraph"/>
        <w:numPr>
          <w:ilvl w:val="3"/>
          <w:numId w:val="30"/>
        </w:numPr>
        <w:spacing w:before="120" w:after="120"/>
        <w:ind w:left="2880" w:hanging="720"/>
      </w:pPr>
      <w:r w:rsidRPr="00E33B17">
        <w:t>Out of State;</w:t>
      </w:r>
    </w:p>
    <w:p w14:paraId="45C82F04" w14:textId="77777777" w:rsidR="00207B03" w:rsidRPr="00E33B17" w:rsidRDefault="00207B03">
      <w:pPr>
        <w:pStyle w:val="ListParagraph"/>
        <w:numPr>
          <w:ilvl w:val="3"/>
          <w:numId w:val="30"/>
        </w:numPr>
        <w:spacing w:before="120" w:after="120"/>
        <w:ind w:left="2880" w:hanging="720"/>
      </w:pPr>
      <w:r w:rsidRPr="00E33B17">
        <w:t>Private Provider;</w:t>
      </w:r>
    </w:p>
    <w:p w14:paraId="2BC09295" w14:textId="77777777" w:rsidR="00207B03" w:rsidRPr="00E33B17" w:rsidRDefault="00207B03">
      <w:pPr>
        <w:pStyle w:val="ListParagraph"/>
        <w:numPr>
          <w:ilvl w:val="3"/>
          <w:numId w:val="30"/>
        </w:numPr>
        <w:spacing w:before="120" w:after="120"/>
        <w:ind w:left="2880" w:hanging="720"/>
      </w:pPr>
      <w:r w:rsidRPr="00E33B17">
        <w:t>Private Psychiatric Hospital;</w:t>
      </w:r>
    </w:p>
    <w:p w14:paraId="15C427B6" w14:textId="77777777" w:rsidR="00207B03" w:rsidRPr="00E33B17" w:rsidRDefault="00207B03">
      <w:pPr>
        <w:pStyle w:val="ListParagraph"/>
        <w:numPr>
          <w:ilvl w:val="3"/>
          <w:numId w:val="30"/>
        </w:numPr>
        <w:spacing w:before="120" w:after="120"/>
        <w:ind w:left="2880" w:hanging="720"/>
      </w:pPr>
      <w:r w:rsidRPr="00E33B17">
        <w:lastRenderedPageBreak/>
        <w:t>Private Residential Treatment Center;</w:t>
      </w:r>
    </w:p>
    <w:p w14:paraId="213432D5" w14:textId="77777777" w:rsidR="00207B03" w:rsidRPr="00E33B17" w:rsidRDefault="00207B03">
      <w:pPr>
        <w:pStyle w:val="ListParagraph"/>
        <w:numPr>
          <w:ilvl w:val="3"/>
          <w:numId w:val="30"/>
        </w:numPr>
        <w:spacing w:before="120" w:after="120"/>
        <w:ind w:left="2880" w:hanging="720"/>
      </w:pPr>
      <w:r w:rsidRPr="00E33B17">
        <w:t>Single Diagnosis Substance Abuse;</w:t>
      </w:r>
    </w:p>
    <w:p w14:paraId="6A8ED451" w14:textId="77777777" w:rsidR="00207B03" w:rsidRPr="00E33B17" w:rsidRDefault="00207B03">
      <w:pPr>
        <w:pStyle w:val="ListParagraph"/>
        <w:numPr>
          <w:ilvl w:val="3"/>
          <w:numId w:val="30"/>
        </w:numPr>
        <w:spacing w:before="120" w:after="120"/>
        <w:ind w:left="2880" w:hanging="720"/>
      </w:pPr>
      <w:r w:rsidRPr="00E33B17">
        <w:t>State Funded Community Hospital;</w:t>
      </w:r>
    </w:p>
    <w:p w14:paraId="04741773" w14:textId="77777777" w:rsidR="00207B03" w:rsidRPr="00E33B17" w:rsidRDefault="00207B03">
      <w:pPr>
        <w:pStyle w:val="ListParagraph"/>
        <w:numPr>
          <w:ilvl w:val="3"/>
          <w:numId w:val="30"/>
        </w:numPr>
        <w:spacing w:before="120" w:after="120"/>
        <w:ind w:left="2880" w:hanging="720"/>
      </w:pPr>
      <w:r w:rsidRPr="00E33B17">
        <w:t>State Hospital;</w:t>
      </w:r>
    </w:p>
    <w:p w14:paraId="74B43917" w14:textId="77777777" w:rsidR="00207B03" w:rsidRPr="00E33B17" w:rsidRDefault="00207B03">
      <w:pPr>
        <w:pStyle w:val="ListParagraph"/>
        <w:numPr>
          <w:ilvl w:val="3"/>
          <w:numId w:val="30"/>
        </w:numPr>
        <w:spacing w:before="120" w:after="120"/>
        <w:ind w:left="2880" w:hanging="720"/>
      </w:pPr>
      <w:r w:rsidRPr="00E33B17">
        <w:t>State School;</w:t>
      </w:r>
    </w:p>
    <w:p w14:paraId="40FF2EE7" w14:textId="77777777" w:rsidR="00207B03" w:rsidRPr="00E33B17" w:rsidRDefault="00207B03">
      <w:pPr>
        <w:pStyle w:val="ListParagraph"/>
        <w:numPr>
          <w:ilvl w:val="3"/>
          <w:numId w:val="30"/>
        </w:numPr>
        <w:spacing w:before="120" w:after="120"/>
        <w:ind w:left="2880" w:hanging="720"/>
      </w:pPr>
      <w:r w:rsidRPr="00E33B17">
        <w:t>Substance Abuse Treatment Center (Inpatient);</w:t>
      </w:r>
    </w:p>
    <w:p w14:paraId="18B71E06" w14:textId="77777777" w:rsidR="00207B03" w:rsidRPr="00E33B17" w:rsidRDefault="00207B03">
      <w:pPr>
        <w:pStyle w:val="ListParagraph"/>
        <w:numPr>
          <w:ilvl w:val="3"/>
          <w:numId w:val="30"/>
        </w:numPr>
        <w:spacing w:before="120" w:after="120"/>
        <w:ind w:left="2880" w:hanging="720"/>
      </w:pPr>
      <w:r w:rsidRPr="00E33B17">
        <w:t>Veterans Administration Inpatient;</w:t>
      </w:r>
    </w:p>
    <w:p w14:paraId="4407984F" w14:textId="77777777" w:rsidR="00207B03" w:rsidRPr="00E33B17" w:rsidRDefault="00207B03">
      <w:pPr>
        <w:pStyle w:val="ListParagraph"/>
        <w:numPr>
          <w:ilvl w:val="3"/>
          <w:numId w:val="30"/>
        </w:numPr>
        <w:spacing w:before="120" w:after="120"/>
        <w:ind w:left="2880" w:hanging="720"/>
      </w:pPr>
      <w:r w:rsidRPr="00E33B17">
        <w:t>Veterans Administration Outpatient; and</w:t>
      </w:r>
    </w:p>
    <w:p w14:paraId="726AD727" w14:textId="77777777" w:rsidR="00207B03" w:rsidRPr="00E33B17" w:rsidRDefault="00207B03">
      <w:pPr>
        <w:pStyle w:val="ListParagraph"/>
        <w:numPr>
          <w:ilvl w:val="3"/>
          <w:numId w:val="30"/>
        </w:numPr>
        <w:spacing w:before="120" w:after="120"/>
        <w:ind w:left="2880" w:hanging="720"/>
      </w:pPr>
      <w:r w:rsidRPr="00E33B17">
        <w:t>Voluntary Unauthorized Departure.</w:t>
      </w:r>
    </w:p>
    <w:p w14:paraId="5A990CBD" w14:textId="503F29A4" w:rsidR="00673514" w:rsidRDefault="00673514">
      <w:pPr>
        <w:pStyle w:val="ListParagraph"/>
        <w:numPr>
          <w:ilvl w:val="2"/>
          <w:numId w:val="30"/>
        </w:numPr>
        <w:spacing w:before="120" w:after="120"/>
      </w:pPr>
      <w:r w:rsidRPr="00E33B17">
        <w:t xml:space="preserve">Data Source: </w:t>
      </w:r>
      <w:r w:rsidR="00812487" w:rsidRPr="00E33B17">
        <w:t xml:space="preserve">CARE, </w:t>
      </w:r>
      <w:r w:rsidRPr="00E33B17">
        <w:t>CMBHS</w:t>
      </w:r>
      <w:r w:rsidR="00812487" w:rsidRPr="00E33B17">
        <w:t>,</w:t>
      </w:r>
      <w:r w:rsidRPr="00E33B17">
        <w:t xml:space="preserve"> and MBOW.</w:t>
      </w:r>
    </w:p>
    <w:p w14:paraId="3146899F" w14:textId="77777777" w:rsidR="00C72DF1" w:rsidRDefault="00C72DF1"/>
    <w:p w14:paraId="5FBD3CE1" w14:textId="77777777" w:rsidR="00C72DF1" w:rsidRDefault="00C72DF1"/>
    <w:p w14:paraId="7461616C" w14:textId="77777777" w:rsidR="00C72DF1" w:rsidRPr="00C72DF1" w:rsidRDefault="00C72DF1" w:rsidP="00C72DF1">
      <w:pPr>
        <w:jc w:val="center"/>
      </w:pPr>
      <w:r>
        <w:rPr>
          <w:i/>
          <w:iCs/>
        </w:rPr>
        <w:t>Remainder of Page Intentionally Left Blank</w:t>
      </w:r>
      <w:r w:rsidRPr="00E33B17">
        <w:br w:type="page"/>
      </w:r>
    </w:p>
    <w:p w14:paraId="3C8AA6FF" w14:textId="6A0249C5" w:rsidR="00C35A98" w:rsidRDefault="00D659DE">
      <w:pPr>
        <w:pStyle w:val="Heading1"/>
      </w:pPr>
      <w:bookmarkStart w:id="197" w:name="_Toc134117636"/>
      <w:r w:rsidRPr="004A7429">
        <w:lastRenderedPageBreak/>
        <w:t>Other Measures</w:t>
      </w:r>
      <w:bookmarkEnd w:id="197"/>
    </w:p>
    <w:p w14:paraId="74D4F26A" w14:textId="77777777" w:rsidR="000451C4" w:rsidRPr="00C72DF1" w:rsidRDefault="000451C4" w:rsidP="00C72DF1">
      <w:pPr>
        <w:spacing w:before="240" w:after="240"/>
        <w:rPr>
          <w:b/>
          <w:bCs/>
          <w:sz w:val="28"/>
          <w:szCs w:val="28"/>
        </w:rPr>
      </w:pPr>
    </w:p>
    <w:p w14:paraId="2E35538A" w14:textId="77777777" w:rsidR="00D659DE" w:rsidRPr="004A7429" w:rsidRDefault="00D659DE">
      <w:pPr>
        <w:pStyle w:val="Heading2"/>
      </w:pPr>
      <w:bookmarkStart w:id="198" w:name="_Toc134117637"/>
      <w:r w:rsidRPr="004A7429">
        <w:t>Long Term Services and Supports</w:t>
      </w:r>
      <w:bookmarkEnd w:id="198"/>
    </w:p>
    <w:p w14:paraId="4ED292E0" w14:textId="4DD83573" w:rsidR="0032285B" w:rsidRPr="00E33B17" w:rsidRDefault="00D659DE">
      <w:pPr>
        <w:pStyle w:val="ListParagraph"/>
        <w:numPr>
          <w:ilvl w:val="2"/>
          <w:numId w:val="31"/>
        </w:numPr>
        <w:spacing w:before="120" w:after="120"/>
      </w:pPr>
      <w:r w:rsidRPr="00E33B17">
        <w:t xml:space="preserve">Target: </w:t>
      </w:r>
      <w:r w:rsidR="00B235DF">
        <w:t>Grantee</w:t>
      </w:r>
      <w:r w:rsidR="0032285B" w:rsidRPr="00E33B17">
        <w:t xml:space="preserve"> shall act upon at least 70</w:t>
      </w:r>
      <w:r w:rsidR="009F6853" w:rsidRPr="00E33B17">
        <w:t>.0</w:t>
      </w:r>
      <w:r w:rsidR="0032285B" w:rsidRPr="00E33B17">
        <w:t>% of referrals within 15 calendar days of receipt from the Long</w:t>
      </w:r>
      <w:r w:rsidR="007D2683" w:rsidRPr="00E33B17">
        <w:t>–</w:t>
      </w:r>
      <w:r w:rsidR="0032285B" w:rsidRPr="00E33B17">
        <w:t>term Services and Supports (LTSS) Screen of CARE.</w:t>
      </w:r>
    </w:p>
    <w:p w14:paraId="7F59689F" w14:textId="7A87685F" w:rsidR="00C938FD" w:rsidRPr="00E33B17" w:rsidRDefault="00BC3430">
      <w:pPr>
        <w:pStyle w:val="ListParagraph"/>
        <w:numPr>
          <w:ilvl w:val="2"/>
          <w:numId w:val="31"/>
        </w:numPr>
        <w:spacing w:before="120" w:after="120"/>
      </w:pPr>
      <w:r w:rsidRPr="00E33B17">
        <w:t>Acceptable server types: All (A</w:t>
      </w:r>
      <w:r w:rsidR="007D2683" w:rsidRPr="00E33B17">
        <w:t>–</w:t>
      </w:r>
      <w:r w:rsidRPr="00E33B17">
        <w:t>R)</w:t>
      </w:r>
    </w:p>
    <w:p w14:paraId="240FA662" w14:textId="37BBFE6C" w:rsidR="00BC3430" w:rsidRPr="00E33B17" w:rsidRDefault="00BC3430">
      <w:pPr>
        <w:pStyle w:val="ListParagraph"/>
        <w:numPr>
          <w:ilvl w:val="2"/>
          <w:numId w:val="31"/>
        </w:numPr>
        <w:spacing w:before="120" w:after="120"/>
      </w:pPr>
      <w:r w:rsidRPr="00E33B17">
        <w:t>Acceptable contact types: T (telephone), F (face</w:t>
      </w:r>
      <w:r w:rsidR="007D2683" w:rsidRPr="00E33B17">
        <w:t>–</w:t>
      </w:r>
      <w:r w:rsidRPr="00E33B17">
        <w:t>to</w:t>
      </w:r>
      <w:r w:rsidR="007D2683" w:rsidRPr="00E33B17">
        <w:t>–</w:t>
      </w:r>
      <w:r w:rsidRPr="00E33B17">
        <w:t>face), or D (documentation)</w:t>
      </w:r>
      <w:r w:rsidR="00B5235E" w:rsidRPr="00E33B17">
        <w:t>.</w:t>
      </w:r>
    </w:p>
    <w:p w14:paraId="076EB294" w14:textId="50607C9D" w:rsidR="0032285B" w:rsidRPr="00E33B17" w:rsidRDefault="0032285B">
      <w:pPr>
        <w:pStyle w:val="ListParagraph"/>
        <w:numPr>
          <w:ilvl w:val="2"/>
          <w:numId w:val="31"/>
        </w:numPr>
        <w:spacing w:before="120" w:after="120"/>
      </w:pPr>
      <w:r w:rsidRPr="00E33B17">
        <w:t>Calculation: (Numerator/Denominator</w:t>
      </w:r>
      <w:r w:rsidR="00C72DF1">
        <w:t xml:space="preserve">) * </w:t>
      </w:r>
      <w:r w:rsidRPr="00E33B17">
        <w:t>100</w:t>
      </w:r>
    </w:p>
    <w:p w14:paraId="3CC59B5A" w14:textId="77777777" w:rsidR="0032285B" w:rsidRPr="00E33B17" w:rsidRDefault="0032285B">
      <w:pPr>
        <w:pStyle w:val="ListParagraph"/>
        <w:numPr>
          <w:ilvl w:val="2"/>
          <w:numId w:val="31"/>
        </w:numPr>
        <w:spacing w:before="120" w:after="120"/>
      </w:pPr>
      <w:r w:rsidRPr="00E33B17">
        <w:t xml:space="preserve">Numerator: Number of </w:t>
      </w:r>
      <w:r w:rsidR="00DE1281" w:rsidRPr="00E33B17">
        <w:t xml:space="preserve">LTSS referrals </w:t>
      </w:r>
      <w:r w:rsidR="00917373" w:rsidRPr="00E33B17">
        <w:t>followed by</w:t>
      </w:r>
      <w:r w:rsidR="00DE1281" w:rsidRPr="00E33B17">
        <w:t xml:space="preserve"> an encounter</w:t>
      </w:r>
      <w:r w:rsidR="00917373" w:rsidRPr="00E33B17">
        <w:t xml:space="preserve"> with the H0023 procedure code (</w:t>
      </w:r>
      <w:r w:rsidR="00083EAB" w:rsidRPr="00E33B17">
        <w:t>grid code 100</w:t>
      </w:r>
      <w:r w:rsidR="00917373" w:rsidRPr="00E33B17">
        <w:t xml:space="preserve">) </w:t>
      </w:r>
      <w:r w:rsidR="00083EAB" w:rsidRPr="00E33B17">
        <w:t>fo</w:t>
      </w:r>
      <w:r w:rsidR="00EA7984" w:rsidRPr="00E33B17">
        <w:t>r adults and</w:t>
      </w:r>
      <w:r w:rsidR="00917373" w:rsidRPr="00E33B17">
        <w:t xml:space="preserve"> the H0023HA procedure code (</w:t>
      </w:r>
      <w:r w:rsidR="00083EAB" w:rsidRPr="00E33B17">
        <w:t>grid code 200</w:t>
      </w:r>
      <w:r w:rsidR="00917373" w:rsidRPr="00E33B17">
        <w:t>)</w:t>
      </w:r>
      <w:r w:rsidR="00083EAB" w:rsidRPr="00E33B17">
        <w:t xml:space="preserve"> for children</w:t>
      </w:r>
      <w:r w:rsidR="00917373" w:rsidRPr="00E33B17">
        <w:t xml:space="preserve"> within 15 days of receipt</w:t>
      </w:r>
      <w:r w:rsidRPr="00E33B17">
        <w:t>.</w:t>
      </w:r>
    </w:p>
    <w:p w14:paraId="03E59F65" w14:textId="77777777" w:rsidR="0032285B" w:rsidRPr="00E33B17" w:rsidRDefault="0032285B">
      <w:pPr>
        <w:pStyle w:val="ListParagraph"/>
        <w:numPr>
          <w:ilvl w:val="2"/>
          <w:numId w:val="31"/>
        </w:numPr>
        <w:spacing w:before="120" w:after="120"/>
      </w:pPr>
      <w:r w:rsidRPr="00E33B17">
        <w:t xml:space="preserve">Denominator: </w:t>
      </w:r>
      <w:r w:rsidR="00DE1281" w:rsidRPr="00E33B17">
        <w:t>Total LTSS referrals</w:t>
      </w:r>
      <w:r w:rsidRPr="00E33B17">
        <w:t>.</w:t>
      </w:r>
    </w:p>
    <w:p w14:paraId="1B20950C" w14:textId="1F0A97BD" w:rsidR="0032285B" w:rsidRPr="00E33B17" w:rsidRDefault="0032285B">
      <w:pPr>
        <w:pStyle w:val="ListParagraph"/>
        <w:numPr>
          <w:ilvl w:val="2"/>
          <w:numId w:val="31"/>
        </w:numPr>
        <w:spacing w:before="120" w:after="120"/>
      </w:pPr>
      <w:r w:rsidRPr="00E33B17">
        <w:t>Exclusion(s)/Exception(s):</w:t>
      </w:r>
      <w:r w:rsidR="000451C4">
        <w:t xml:space="preserve"> N/A</w:t>
      </w:r>
    </w:p>
    <w:p w14:paraId="2075CEA7" w14:textId="7A5799A6" w:rsidR="0032285B" w:rsidRDefault="0032285B">
      <w:pPr>
        <w:pStyle w:val="ListParagraph"/>
        <w:numPr>
          <w:ilvl w:val="2"/>
          <w:numId w:val="31"/>
        </w:numPr>
        <w:spacing w:before="120" w:after="120"/>
      </w:pPr>
      <w:r w:rsidRPr="00E33B17">
        <w:t xml:space="preserve">Data Source: </w:t>
      </w:r>
      <w:r w:rsidR="00A419DD" w:rsidRPr="00E33B17">
        <w:t xml:space="preserve">CARE and </w:t>
      </w:r>
      <w:r w:rsidRPr="00E33B17">
        <w:t>MBOW.</w:t>
      </w:r>
    </w:p>
    <w:p w14:paraId="57575284" w14:textId="77777777" w:rsidR="00C72DF1" w:rsidRDefault="00C72DF1"/>
    <w:p w14:paraId="0A3E174E" w14:textId="77777777" w:rsidR="00C72DF1" w:rsidRDefault="00C72DF1"/>
    <w:p w14:paraId="1D5DD8C3" w14:textId="77777777" w:rsidR="00C72DF1" w:rsidRPr="00C72DF1" w:rsidRDefault="00C72DF1" w:rsidP="00C72DF1">
      <w:pPr>
        <w:jc w:val="center"/>
      </w:pPr>
      <w:r>
        <w:rPr>
          <w:i/>
          <w:iCs/>
        </w:rPr>
        <w:t>Remainder of Page Intentionally Left Blank</w:t>
      </w:r>
      <w:r w:rsidRPr="00E33B17">
        <w:br w:type="page"/>
      </w:r>
    </w:p>
    <w:p w14:paraId="5CE3E3BF" w14:textId="77777777" w:rsidR="008D23A4" w:rsidRDefault="00A8465E">
      <w:pPr>
        <w:pStyle w:val="Heading1"/>
      </w:pPr>
      <w:bookmarkStart w:id="199" w:name="_Toc134117638"/>
      <w:r w:rsidRPr="004A7429">
        <w:lastRenderedPageBreak/>
        <w:t>YES</w:t>
      </w:r>
      <w:r w:rsidR="00BC3EC0" w:rsidRPr="004A7429">
        <w:t xml:space="preserve"> Waiver</w:t>
      </w:r>
      <w:bookmarkEnd w:id="199"/>
    </w:p>
    <w:p w14:paraId="62859649" w14:textId="0B41D3AE" w:rsidR="00D659DE" w:rsidRPr="00C72DF1" w:rsidRDefault="00D659DE" w:rsidP="00C72DF1">
      <w:pPr>
        <w:spacing w:before="240" w:after="240"/>
        <w:rPr>
          <w:b/>
          <w:bCs/>
          <w:sz w:val="28"/>
          <w:szCs w:val="28"/>
        </w:rPr>
      </w:pPr>
    </w:p>
    <w:p w14:paraId="39E36282" w14:textId="77777777" w:rsidR="00304141" w:rsidRPr="004A7429" w:rsidRDefault="00304141">
      <w:pPr>
        <w:pStyle w:val="Heading2"/>
      </w:pPr>
      <w:bookmarkStart w:id="200" w:name="_Toc134117639"/>
      <w:r w:rsidRPr="004A7429">
        <w:t>Inquiry List Submission</w:t>
      </w:r>
      <w:bookmarkEnd w:id="200"/>
    </w:p>
    <w:p w14:paraId="6346F5F5" w14:textId="77777777" w:rsidR="00304141" w:rsidRPr="00E33B17" w:rsidRDefault="00304141">
      <w:pPr>
        <w:pStyle w:val="ListParagraph"/>
        <w:numPr>
          <w:ilvl w:val="2"/>
          <w:numId w:val="33"/>
        </w:numPr>
        <w:spacing w:before="120" w:after="120"/>
      </w:pPr>
      <w:r w:rsidRPr="00E33B17">
        <w:t xml:space="preserve">Explanation: </w:t>
      </w:r>
      <w:r w:rsidR="006F116E" w:rsidRPr="00E33B17">
        <w:t xml:space="preserve">At least 80% of preferred Inquiry List Templates shall be submitted </w:t>
      </w:r>
      <w:r w:rsidR="00FB1AD3" w:rsidRPr="00E33B17">
        <w:t>o</w:t>
      </w:r>
      <w:r w:rsidR="006F116E" w:rsidRPr="00E33B17">
        <w:t>n time.</w:t>
      </w:r>
      <w:r w:rsidR="00FB1AD3" w:rsidRPr="00E33B17">
        <w:t xml:space="preserve"> </w:t>
      </w:r>
    </w:p>
    <w:p w14:paraId="3456A4F3" w14:textId="14A9BB09" w:rsidR="00304141" w:rsidRPr="00E33B17" w:rsidRDefault="00304141">
      <w:pPr>
        <w:pStyle w:val="ListParagraph"/>
        <w:numPr>
          <w:ilvl w:val="2"/>
          <w:numId w:val="33"/>
        </w:numPr>
        <w:spacing w:before="120" w:after="120"/>
      </w:pPr>
      <w:r w:rsidRPr="00E33B17">
        <w:t>Calculation: (Numerator/Denominator</w:t>
      </w:r>
      <w:r w:rsidR="00C72DF1">
        <w:t xml:space="preserve">) * </w:t>
      </w:r>
      <w:r w:rsidR="003C033F" w:rsidRPr="00E33B17">
        <w:t>100</w:t>
      </w:r>
    </w:p>
    <w:p w14:paraId="7B02DC29" w14:textId="77777777" w:rsidR="00304141" w:rsidRPr="00E33B17" w:rsidRDefault="00304141">
      <w:pPr>
        <w:pStyle w:val="ListParagraph"/>
        <w:numPr>
          <w:ilvl w:val="2"/>
          <w:numId w:val="33"/>
        </w:numPr>
        <w:spacing w:before="120" w:after="120"/>
      </w:pPr>
      <w:r w:rsidRPr="00E33B17">
        <w:t>Numerator: The total number of months in which the preferred Inquiry List Template was submitted by the 5</w:t>
      </w:r>
      <w:r w:rsidRPr="00C72DF1">
        <w:t>th</w:t>
      </w:r>
      <w:r w:rsidRPr="00E33B17">
        <w:t xml:space="preserve"> business day of the month</w:t>
      </w:r>
      <w:r w:rsidR="00FB1AD3" w:rsidRPr="00E33B17">
        <w:t>.</w:t>
      </w:r>
    </w:p>
    <w:p w14:paraId="37C50196" w14:textId="77777777" w:rsidR="00304141" w:rsidRPr="00E33B17" w:rsidRDefault="00304141">
      <w:pPr>
        <w:pStyle w:val="ListParagraph"/>
        <w:numPr>
          <w:ilvl w:val="2"/>
          <w:numId w:val="33"/>
        </w:numPr>
        <w:spacing w:before="120" w:after="120"/>
      </w:pPr>
      <w:r w:rsidRPr="00E33B17">
        <w:t>Denominator: The total number of months in a reporting period</w:t>
      </w:r>
      <w:r w:rsidR="00FB1AD3" w:rsidRPr="00E33B17">
        <w:t>.</w:t>
      </w:r>
    </w:p>
    <w:p w14:paraId="1BDAB887" w14:textId="77777777" w:rsidR="00304141" w:rsidRPr="00E33B17" w:rsidRDefault="00304141">
      <w:pPr>
        <w:pStyle w:val="ListParagraph"/>
        <w:numPr>
          <w:ilvl w:val="2"/>
          <w:numId w:val="33"/>
        </w:numPr>
        <w:spacing w:before="120" w:after="120"/>
      </w:pPr>
      <w:r w:rsidRPr="00E33B17">
        <w:t xml:space="preserve">Exclusion(s)/Exceptions: </w:t>
      </w:r>
      <w:r w:rsidR="009440EE" w:rsidRPr="00E33B17">
        <w:t>When</w:t>
      </w:r>
      <w:r w:rsidRPr="00E33B17">
        <w:t xml:space="preserve"> the 5</w:t>
      </w:r>
      <w:r w:rsidRPr="00C72DF1">
        <w:t>th</w:t>
      </w:r>
      <w:r w:rsidRPr="00E33B17">
        <w:t xml:space="preserve"> business day of the month is a state or federal holiday</w:t>
      </w:r>
      <w:r w:rsidR="009440EE" w:rsidRPr="00E33B17">
        <w:t xml:space="preserve">, </w:t>
      </w:r>
      <w:r w:rsidR="005F5EAE" w:rsidRPr="00E33B17">
        <w:t xml:space="preserve">Inquiry List Templates </w:t>
      </w:r>
      <w:r w:rsidR="009440EE" w:rsidRPr="00E33B17">
        <w:t>shall</w:t>
      </w:r>
      <w:r w:rsidR="005F5EAE" w:rsidRPr="00E33B17">
        <w:t xml:space="preserve"> be submitted on the following business day.</w:t>
      </w:r>
    </w:p>
    <w:p w14:paraId="7B483F1D" w14:textId="77777777" w:rsidR="00304141" w:rsidRPr="00E33B17" w:rsidRDefault="00304141">
      <w:pPr>
        <w:pStyle w:val="ListParagraph"/>
        <w:numPr>
          <w:ilvl w:val="2"/>
          <w:numId w:val="33"/>
        </w:numPr>
        <w:spacing w:before="120" w:after="120"/>
      </w:pPr>
      <w:r w:rsidRPr="00E33B17">
        <w:t>This measure is assessed annually.</w:t>
      </w:r>
    </w:p>
    <w:p w14:paraId="1DAA2DBA" w14:textId="73AFD93A" w:rsidR="00304141" w:rsidRDefault="00304141">
      <w:pPr>
        <w:pStyle w:val="ListParagraph"/>
        <w:numPr>
          <w:ilvl w:val="2"/>
          <w:numId w:val="33"/>
        </w:numPr>
        <w:spacing w:before="120" w:after="120"/>
      </w:pPr>
      <w:r w:rsidRPr="00E33B17">
        <w:t>Data Source: Inquiry Lists submitted to the Contract</w:t>
      </w:r>
      <w:r w:rsidR="00FB1AD3" w:rsidRPr="00E33B17">
        <w:t xml:space="preserve"> </w:t>
      </w:r>
      <w:r w:rsidRPr="00E33B17">
        <w:t>management unit and YES Waiver email boxes</w:t>
      </w:r>
      <w:r w:rsidR="00554BF0" w:rsidRPr="00E33B17">
        <w:t>.</w:t>
      </w:r>
    </w:p>
    <w:p w14:paraId="3C2D6E12" w14:textId="77777777" w:rsidR="008D23A4" w:rsidRPr="00E33B17" w:rsidRDefault="008D23A4" w:rsidP="00C72DF1">
      <w:pPr>
        <w:spacing w:before="120" w:after="120"/>
      </w:pPr>
    </w:p>
    <w:p w14:paraId="24A90B85" w14:textId="41BC69A8" w:rsidR="00304141" w:rsidRPr="004A7429" w:rsidRDefault="00304141">
      <w:pPr>
        <w:pStyle w:val="Heading2"/>
      </w:pPr>
      <w:bookmarkStart w:id="201" w:name="_Toc134117640"/>
      <w:r w:rsidRPr="004A7429">
        <w:t>Inquiry List</w:t>
      </w:r>
      <w:r w:rsidR="00741FB6" w:rsidRPr="004A7429">
        <w:t xml:space="preserve"> –</w:t>
      </w:r>
      <w:r w:rsidR="003D674F" w:rsidRPr="004A7429">
        <w:t xml:space="preserve"> </w:t>
      </w:r>
      <w:r w:rsidRPr="004A7429">
        <w:t>Clinical Eligibility Assessment</w:t>
      </w:r>
      <w:bookmarkEnd w:id="201"/>
      <w:r w:rsidRPr="004A7429">
        <w:t xml:space="preserve"> </w:t>
      </w:r>
    </w:p>
    <w:p w14:paraId="042BA3B8" w14:textId="602EC8AA" w:rsidR="00304141" w:rsidRPr="00E33B17" w:rsidRDefault="00304141">
      <w:pPr>
        <w:pStyle w:val="ListParagraph"/>
        <w:numPr>
          <w:ilvl w:val="2"/>
          <w:numId w:val="34"/>
        </w:numPr>
        <w:spacing w:before="120" w:after="120"/>
      </w:pPr>
      <w:r w:rsidRPr="00E33B17">
        <w:t xml:space="preserve">Explanation: </w:t>
      </w:r>
      <w:r w:rsidR="00790BEE" w:rsidRPr="00E33B17">
        <w:t xml:space="preserve">At least 90% of individuals </w:t>
      </w:r>
      <w:r w:rsidR="00F82A5F" w:rsidRPr="00E33B17">
        <w:t xml:space="preserve">who meet demographic eligibility criteria </w:t>
      </w:r>
      <w:r w:rsidR="00790BEE" w:rsidRPr="00E33B17">
        <w:t>shall</w:t>
      </w:r>
      <w:r w:rsidR="00554BF0" w:rsidRPr="00E33B17">
        <w:t xml:space="preserve"> receive</w:t>
      </w:r>
      <w:r w:rsidR="00790BEE" w:rsidRPr="00E33B17">
        <w:t xml:space="preserve"> </w:t>
      </w:r>
      <w:r w:rsidRPr="00E33B17">
        <w:t xml:space="preserve">a clinical eligibility assessment for YES </w:t>
      </w:r>
      <w:r w:rsidR="000A028A" w:rsidRPr="00E33B17">
        <w:t>W</w:t>
      </w:r>
      <w:r w:rsidRPr="00E33B17">
        <w:t>aiver</w:t>
      </w:r>
      <w:r w:rsidR="00554BF0" w:rsidRPr="00E33B17">
        <w:t xml:space="preserve"> </w:t>
      </w:r>
      <w:r w:rsidRPr="00E33B17">
        <w:t>within 7 business days of meeting demographic eligibility criteria</w:t>
      </w:r>
      <w:r w:rsidRPr="00C72DF1">
        <w:t xml:space="preserve">. </w:t>
      </w:r>
    </w:p>
    <w:p w14:paraId="19347860" w14:textId="1955DEF8" w:rsidR="00304141" w:rsidRPr="00E33B17" w:rsidRDefault="00304141">
      <w:pPr>
        <w:pStyle w:val="ListParagraph"/>
        <w:numPr>
          <w:ilvl w:val="2"/>
          <w:numId w:val="34"/>
        </w:numPr>
        <w:spacing w:before="120" w:after="120"/>
      </w:pPr>
      <w:r w:rsidRPr="00E33B17">
        <w:t>Calculation: (Numerator/Denominator</w:t>
      </w:r>
      <w:r w:rsidR="00C72DF1">
        <w:t xml:space="preserve">) * </w:t>
      </w:r>
      <w:r w:rsidR="00E12758" w:rsidRPr="00E33B17">
        <w:t>100</w:t>
      </w:r>
    </w:p>
    <w:p w14:paraId="0CFACD00" w14:textId="7DD50A5B" w:rsidR="00304141" w:rsidRPr="00E33B17" w:rsidRDefault="00304141">
      <w:pPr>
        <w:pStyle w:val="ListParagraph"/>
        <w:numPr>
          <w:ilvl w:val="2"/>
          <w:numId w:val="34"/>
        </w:numPr>
        <w:spacing w:before="120" w:after="120"/>
      </w:pPr>
      <w:r w:rsidRPr="00E33B17">
        <w:t xml:space="preserve">Numerator: The number of individuals </w:t>
      </w:r>
      <w:r w:rsidR="00554BF0" w:rsidRPr="00E33B17">
        <w:t xml:space="preserve">who </w:t>
      </w:r>
      <w:r w:rsidRPr="00E33B17">
        <w:t xml:space="preserve">received a clinical eligibility assessment for YES </w:t>
      </w:r>
      <w:r w:rsidR="000A028A" w:rsidRPr="00E33B17">
        <w:t>W</w:t>
      </w:r>
      <w:r w:rsidRPr="00E33B17">
        <w:t>aiver within 7 business days of meeting demographic eligibility criteria.</w:t>
      </w:r>
    </w:p>
    <w:p w14:paraId="0C972F7A" w14:textId="77777777" w:rsidR="00304141" w:rsidRPr="00E33B17" w:rsidRDefault="00304141">
      <w:pPr>
        <w:pStyle w:val="ListParagraph"/>
        <w:numPr>
          <w:ilvl w:val="2"/>
          <w:numId w:val="34"/>
        </w:numPr>
        <w:spacing w:before="120" w:after="120"/>
      </w:pPr>
      <w:r w:rsidRPr="00E33B17">
        <w:t>Denominator: The total number of individuals who met demographic eligibility criteria within the reporting period.</w:t>
      </w:r>
    </w:p>
    <w:p w14:paraId="4C1DE4AD" w14:textId="0E579DB9" w:rsidR="008D23A4" w:rsidRDefault="00304141">
      <w:pPr>
        <w:pStyle w:val="ListParagraph"/>
        <w:numPr>
          <w:ilvl w:val="2"/>
          <w:numId w:val="34"/>
        </w:numPr>
        <w:spacing w:before="120" w:after="120"/>
      </w:pPr>
      <w:r w:rsidRPr="00C72DF1">
        <w:t>Exclusion(s)/Exceptions:</w:t>
      </w:r>
    </w:p>
    <w:p w14:paraId="1F0510D2" w14:textId="437A766C" w:rsidR="00304141" w:rsidRPr="00E33B17" w:rsidRDefault="00304141">
      <w:pPr>
        <w:pStyle w:val="ListParagraph"/>
        <w:numPr>
          <w:ilvl w:val="3"/>
          <w:numId w:val="34"/>
        </w:numPr>
        <w:spacing w:before="120" w:after="120"/>
      </w:pPr>
      <w:r w:rsidRPr="00E33B17">
        <w:t xml:space="preserve">Individuals </w:t>
      </w:r>
      <w:r w:rsidR="00554BF0" w:rsidRPr="00E33B17">
        <w:t xml:space="preserve">who </w:t>
      </w:r>
      <w:r w:rsidRPr="00E33B17">
        <w:t xml:space="preserve">have been removed from the Inquiry list in accordance with </w:t>
      </w:r>
      <w:r w:rsidRPr="00C72DF1">
        <w:t>2</w:t>
      </w:r>
      <w:r w:rsidR="000B7995" w:rsidRPr="00C72DF1">
        <w:t>6</w:t>
      </w:r>
      <w:r w:rsidRPr="00C72DF1">
        <w:t xml:space="preserve"> TAC Chapter </w:t>
      </w:r>
      <w:r w:rsidR="000B7995" w:rsidRPr="00C72DF1">
        <w:t>307</w:t>
      </w:r>
      <w:r w:rsidRPr="00C72DF1">
        <w:t>, Subchapter A, §</w:t>
      </w:r>
      <w:r w:rsidR="000B7995" w:rsidRPr="00C72DF1">
        <w:t>307.13</w:t>
      </w:r>
      <w:r w:rsidRPr="00E33B17">
        <w:t>. Also, individuals who have failed to respond to a call back from the LMHA</w:t>
      </w:r>
      <w:r w:rsidR="003C6770" w:rsidRPr="00E33B17">
        <w:t>/LBHA</w:t>
      </w:r>
      <w:r w:rsidRPr="00E33B17">
        <w:t xml:space="preserve"> to setup a clinical eligibility assessment, and/or individuals who request an assessment outside of the 7 business day window. </w:t>
      </w:r>
    </w:p>
    <w:p w14:paraId="2063164B" w14:textId="524A7C93" w:rsidR="00304141" w:rsidRPr="00E33B17" w:rsidRDefault="00304141">
      <w:pPr>
        <w:pStyle w:val="ListParagraph"/>
        <w:numPr>
          <w:ilvl w:val="3"/>
          <w:numId w:val="34"/>
        </w:numPr>
        <w:spacing w:before="120" w:after="120"/>
      </w:pPr>
      <w:r w:rsidRPr="00E33B17">
        <w:lastRenderedPageBreak/>
        <w:t>When HHSC has issued a written guidance that the state has reached the CMS approved maximum capacity.</w:t>
      </w:r>
    </w:p>
    <w:p w14:paraId="00065B10" w14:textId="77777777" w:rsidR="00B01D66" w:rsidRPr="00E33B17" w:rsidRDefault="00B01D66">
      <w:pPr>
        <w:pStyle w:val="ListParagraph"/>
        <w:numPr>
          <w:ilvl w:val="2"/>
          <w:numId w:val="34"/>
        </w:numPr>
        <w:spacing w:before="120" w:after="120"/>
      </w:pPr>
      <w:r w:rsidRPr="00E33B17">
        <w:t>This measure is assessed annually.</w:t>
      </w:r>
    </w:p>
    <w:p w14:paraId="49598657" w14:textId="018868F5" w:rsidR="00304141" w:rsidRDefault="00304141">
      <w:pPr>
        <w:pStyle w:val="ListParagraph"/>
        <w:numPr>
          <w:ilvl w:val="2"/>
          <w:numId w:val="34"/>
        </w:numPr>
        <w:spacing w:before="120" w:after="120"/>
      </w:pPr>
      <w:r w:rsidRPr="00E33B17">
        <w:t xml:space="preserve">Data Source: </w:t>
      </w:r>
      <w:r w:rsidR="000B7995" w:rsidRPr="00E33B17">
        <w:t xml:space="preserve">YES Waiver </w:t>
      </w:r>
      <w:r w:rsidRPr="00E33B17">
        <w:t>Inquiry List</w:t>
      </w:r>
    </w:p>
    <w:p w14:paraId="692F3E51" w14:textId="77777777" w:rsidR="008D23A4" w:rsidRPr="00C72DF1" w:rsidRDefault="008D23A4" w:rsidP="00C72DF1">
      <w:pPr>
        <w:spacing w:before="240" w:after="240"/>
        <w:rPr>
          <w:b/>
          <w:bCs/>
        </w:rPr>
      </w:pPr>
    </w:p>
    <w:p w14:paraId="0A838BFF" w14:textId="375855DF" w:rsidR="00304141" w:rsidRPr="004A7429" w:rsidRDefault="003D674F">
      <w:pPr>
        <w:pStyle w:val="Heading2"/>
      </w:pPr>
      <w:bookmarkStart w:id="202" w:name="_Toc134117641"/>
      <w:r w:rsidRPr="004A7429">
        <w:t>Inquiry List –</w:t>
      </w:r>
      <w:r w:rsidR="00304141" w:rsidRPr="004A7429">
        <w:t xml:space="preserve"> Return Calls</w:t>
      </w:r>
      <w:bookmarkEnd w:id="202"/>
    </w:p>
    <w:p w14:paraId="739E7579" w14:textId="77777777" w:rsidR="00304141" w:rsidRPr="00E33B17" w:rsidRDefault="00304141">
      <w:pPr>
        <w:pStyle w:val="ListParagraph"/>
        <w:numPr>
          <w:ilvl w:val="2"/>
          <w:numId w:val="35"/>
        </w:numPr>
        <w:spacing w:before="120" w:after="120"/>
      </w:pPr>
      <w:r w:rsidRPr="00E33B17">
        <w:t xml:space="preserve">Explanation: 100% of individuals who inquire about YES Waiver services </w:t>
      </w:r>
      <w:r w:rsidR="00D31A96" w:rsidRPr="00E33B17">
        <w:t xml:space="preserve">shall </w:t>
      </w:r>
      <w:r w:rsidRPr="00E33B17">
        <w:t xml:space="preserve">receive a return call within </w:t>
      </w:r>
      <w:r w:rsidR="00D056F7" w:rsidRPr="00E33B17">
        <w:t>the required timeframe</w:t>
      </w:r>
      <w:r w:rsidRPr="00E33B17">
        <w:t xml:space="preserve">. </w:t>
      </w:r>
    </w:p>
    <w:p w14:paraId="210D99DF" w14:textId="6BE5B3C2" w:rsidR="00304141" w:rsidRPr="00E33B17" w:rsidRDefault="00304141">
      <w:pPr>
        <w:pStyle w:val="ListParagraph"/>
        <w:numPr>
          <w:ilvl w:val="2"/>
          <w:numId w:val="35"/>
        </w:numPr>
        <w:spacing w:before="120" w:after="120"/>
      </w:pPr>
      <w:r w:rsidRPr="00E33B17">
        <w:t>Calculation: (Numerator/Denominator</w:t>
      </w:r>
      <w:r w:rsidR="00C72DF1">
        <w:t xml:space="preserve">) * </w:t>
      </w:r>
      <w:r w:rsidR="003C033F" w:rsidRPr="00E33B17">
        <w:t>100</w:t>
      </w:r>
    </w:p>
    <w:p w14:paraId="21D4BDAE" w14:textId="77777777" w:rsidR="00304141" w:rsidRPr="00E33B17" w:rsidRDefault="00304141">
      <w:pPr>
        <w:pStyle w:val="ListParagraph"/>
        <w:numPr>
          <w:ilvl w:val="2"/>
          <w:numId w:val="35"/>
        </w:numPr>
        <w:spacing w:before="120" w:after="120"/>
      </w:pPr>
      <w:r w:rsidRPr="00E33B17">
        <w:t xml:space="preserve">Numerator: The number of individuals who received a return call </w:t>
      </w:r>
      <w:r w:rsidR="00FB72AF" w:rsidRPr="00E33B17">
        <w:t>within 24 hours or one business day of calling the inquiry line as outlined in the YES Policy Manual</w:t>
      </w:r>
      <w:r w:rsidRPr="00E33B17">
        <w:t>.</w:t>
      </w:r>
    </w:p>
    <w:p w14:paraId="797D827E" w14:textId="77777777" w:rsidR="00304141" w:rsidRPr="00E33B17" w:rsidRDefault="00304141">
      <w:pPr>
        <w:pStyle w:val="ListParagraph"/>
        <w:numPr>
          <w:ilvl w:val="2"/>
          <w:numId w:val="35"/>
        </w:numPr>
        <w:spacing w:before="120" w:after="120"/>
      </w:pPr>
      <w:r w:rsidRPr="00E33B17">
        <w:t>Denominator: The total number of individuals who called the inquiry line and inquired about YES Waiver services within the reporting period.</w:t>
      </w:r>
    </w:p>
    <w:p w14:paraId="5F040426" w14:textId="77777777" w:rsidR="00304141" w:rsidRPr="00E33B17" w:rsidRDefault="00304141">
      <w:pPr>
        <w:pStyle w:val="ListParagraph"/>
        <w:numPr>
          <w:ilvl w:val="2"/>
          <w:numId w:val="35"/>
        </w:numPr>
        <w:spacing w:before="120" w:after="120"/>
      </w:pPr>
      <w:r w:rsidRPr="00E33B17">
        <w:t xml:space="preserve">Exclusion(s)/Exception(s): </w:t>
      </w:r>
      <w:r w:rsidR="005F5EAE" w:rsidRPr="00E33B17">
        <w:t>Calls received on weekends</w:t>
      </w:r>
      <w:r w:rsidR="003C6770" w:rsidRPr="00E33B17">
        <w:t xml:space="preserve"> </w:t>
      </w:r>
      <w:r w:rsidR="005F5EAE" w:rsidRPr="00E33B17">
        <w:t xml:space="preserve">or </w:t>
      </w:r>
      <w:r w:rsidRPr="00E33B17">
        <w:t>state or federal holidays</w:t>
      </w:r>
      <w:r w:rsidR="009440EE" w:rsidRPr="00E33B17">
        <w:t xml:space="preserve"> shall be returned on the next business day</w:t>
      </w:r>
      <w:r w:rsidR="00E12758" w:rsidRPr="00E33B17">
        <w:t>.</w:t>
      </w:r>
    </w:p>
    <w:p w14:paraId="3EC76CCE" w14:textId="53B45A14" w:rsidR="00304141" w:rsidRPr="00E33B17" w:rsidRDefault="00304141">
      <w:pPr>
        <w:pStyle w:val="ListParagraph"/>
        <w:numPr>
          <w:ilvl w:val="2"/>
          <w:numId w:val="35"/>
        </w:numPr>
        <w:spacing w:before="120" w:after="120"/>
      </w:pPr>
      <w:r w:rsidRPr="00E33B17">
        <w:t xml:space="preserve">This measure is assessed </w:t>
      </w:r>
      <w:r w:rsidR="00B01D66" w:rsidRPr="00E33B17">
        <w:t>annually</w:t>
      </w:r>
      <w:r w:rsidRPr="00E33B17">
        <w:t>.</w:t>
      </w:r>
    </w:p>
    <w:p w14:paraId="03A5E0E6" w14:textId="634C7FC3" w:rsidR="00304141" w:rsidRDefault="00304141">
      <w:pPr>
        <w:pStyle w:val="ListParagraph"/>
        <w:numPr>
          <w:ilvl w:val="2"/>
          <w:numId w:val="35"/>
        </w:numPr>
        <w:spacing w:before="120" w:after="120"/>
      </w:pPr>
      <w:r w:rsidRPr="00E33B17">
        <w:t>Data Source: Inquiry List Template</w:t>
      </w:r>
    </w:p>
    <w:p w14:paraId="2EA97CEA" w14:textId="77777777" w:rsidR="00FF0383" w:rsidRPr="00E33B17" w:rsidRDefault="00FF0383" w:rsidP="00C72DF1">
      <w:pPr>
        <w:spacing w:before="120" w:after="120"/>
      </w:pPr>
    </w:p>
    <w:p w14:paraId="0DB184AA" w14:textId="0E98EF7C" w:rsidR="00304141" w:rsidRPr="004A7429" w:rsidRDefault="00304141">
      <w:pPr>
        <w:pStyle w:val="Heading2"/>
      </w:pPr>
      <w:bookmarkStart w:id="203" w:name="_Toc134117642"/>
      <w:r w:rsidRPr="004A7429">
        <w:t>Critical Incident Reporting</w:t>
      </w:r>
      <w:bookmarkEnd w:id="203"/>
    </w:p>
    <w:p w14:paraId="6E3B2E91" w14:textId="77777777" w:rsidR="00304141" w:rsidRPr="00E33B17" w:rsidRDefault="00304141">
      <w:pPr>
        <w:pStyle w:val="ListParagraph"/>
        <w:numPr>
          <w:ilvl w:val="2"/>
          <w:numId w:val="36"/>
        </w:numPr>
        <w:spacing w:before="120" w:after="120"/>
      </w:pPr>
      <w:r w:rsidRPr="00E33B17">
        <w:t xml:space="preserve">Explanation: </w:t>
      </w:r>
      <w:r w:rsidR="00AD38CC" w:rsidRPr="00E33B17">
        <w:t xml:space="preserve">At least </w:t>
      </w:r>
      <w:r w:rsidRPr="00E33B17">
        <w:t xml:space="preserve">90% of critical incidents </w:t>
      </w:r>
      <w:r w:rsidR="00D31A96" w:rsidRPr="00E33B17">
        <w:t xml:space="preserve">shall be </w:t>
      </w:r>
      <w:r w:rsidRPr="00E33B17">
        <w:t xml:space="preserve">submitted </w:t>
      </w:r>
      <w:r w:rsidR="00FC0B82" w:rsidRPr="00E33B17">
        <w:t>on time</w:t>
      </w:r>
      <w:r w:rsidRPr="00E33B17">
        <w:t xml:space="preserve">. </w:t>
      </w:r>
    </w:p>
    <w:p w14:paraId="6F767572" w14:textId="6A66E073" w:rsidR="00304141" w:rsidRPr="00E33B17" w:rsidRDefault="00304141">
      <w:pPr>
        <w:pStyle w:val="ListParagraph"/>
        <w:numPr>
          <w:ilvl w:val="2"/>
          <w:numId w:val="36"/>
        </w:numPr>
        <w:spacing w:before="120" w:after="120"/>
      </w:pPr>
      <w:r w:rsidRPr="00E33B17">
        <w:t>Calculation: (Numerator/Denominator</w:t>
      </w:r>
      <w:r w:rsidR="00C72DF1">
        <w:t xml:space="preserve">) * </w:t>
      </w:r>
      <w:r w:rsidR="003C5BCE" w:rsidRPr="00E33B17">
        <w:t>100</w:t>
      </w:r>
    </w:p>
    <w:p w14:paraId="2E849186" w14:textId="77777777" w:rsidR="00304141" w:rsidRPr="00E33B17" w:rsidRDefault="00304141">
      <w:pPr>
        <w:pStyle w:val="ListParagraph"/>
        <w:numPr>
          <w:ilvl w:val="2"/>
          <w:numId w:val="36"/>
        </w:numPr>
        <w:spacing w:before="120" w:after="120"/>
      </w:pPr>
      <w:r w:rsidRPr="00E33B17">
        <w:t>Numerator: The number of critical incident reports submitted to HHSC within 72 hours or 3 business days of learning of the incident</w:t>
      </w:r>
      <w:r w:rsidR="004E0B26" w:rsidRPr="00E33B17">
        <w:t xml:space="preserve"> as outlined in the YES Policy Manual</w:t>
      </w:r>
      <w:r w:rsidRPr="00E33B17">
        <w:t>.</w:t>
      </w:r>
    </w:p>
    <w:p w14:paraId="2ECF85F1" w14:textId="77777777" w:rsidR="00304141" w:rsidRPr="00E33B17" w:rsidRDefault="00304141">
      <w:pPr>
        <w:pStyle w:val="ListParagraph"/>
        <w:numPr>
          <w:ilvl w:val="2"/>
          <w:numId w:val="36"/>
        </w:numPr>
        <w:spacing w:before="120" w:after="120"/>
      </w:pPr>
      <w:r w:rsidRPr="00E33B17">
        <w:t>Denominator: The total number of critical incidents submitted to HHSC.</w:t>
      </w:r>
    </w:p>
    <w:p w14:paraId="6A52343B" w14:textId="77777777" w:rsidR="00304141" w:rsidRPr="00E33B17" w:rsidRDefault="00304141">
      <w:pPr>
        <w:pStyle w:val="ListParagraph"/>
        <w:numPr>
          <w:ilvl w:val="2"/>
          <w:numId w:val="36"/>
        </w:numPr>
        <w:spacing w:before="120" w:after="120"/>
      </w:pPr>
      <w:r w:rsidRPr="00E33B17">
        <w:t>Exclusion(s)/Exception(s): N/A</w:t>
      </w:r>
    </w:p>
    <w:p w14:paraId="267FF2CE" w14:textId="3AFDA586" w:rsidR="00304141" w:rsidRPr="00E33B17" w:rsidRDefault="00304141">
      <w:pPr>
        <w:pStyle w:val="ListParagraph"/>
        <w:numPr>
          <w:ilvl w:val="2"/>
          <w:numId w:val="36"/>
        </w:numPr>
        <w:spacing w:before="120" w:after="120"/>
      </w:pPr>
      <w:r w:rsidRPr="00E33B17">
        <w:t xml:space="preserve">This measure is assessed </w:t>
      </w:r>
      <w:r w:rsidR="00B01D66" w:rsidRPr="00E33B17">
        <w:t>annually</w:t>
      </w:r>
      <w:r w:rsidRPr="00E33B17">
        <w:t>.</w:t>
      </w:r>
    </w:p>
    <w:p w14:paraId="15927F03" w14:textId="2FC3EA3C" w:rsidR="00304141" w:rsidRDefault="00304141">
      <w:pPr>
        <w:pStyle w:val="ListParagraph"/>
        <w:numPr>
          <w:ilvl w:val="2"/>
          <w:numId w:val="36"/>
        </w:numPr>
        <w:spacing w:before="120" w:after="120"/>
      </w:pPr>
      <w:r w:rsidRPr="00E33B17">
        <w:t xml:space="preserve">Data Source: Critical Incident forms submitted by </w:t>
      </w:r>
      <w:r w:rsidR="00B235DF">
        <w:t>Grantee</w:t>
      </w:r>
      <w:r w:rsidR="006E7FA6" w:rsidRPr="00E33B17">
        <w:t>.</w:t>
      </w:r>
    </w:p>
    <w:p w14:paraId="15F154DB" w14:textId="77777777" w:rsidR="00FF0383" w:rsidRPr="00E33B17" w:rsidRDefault="00FF0383" w:rsidP="00C72DF1">
      <w:pPr>
        <w:spacing w:before="120" w:after="120"/>
      </w:pPr>
    </w:p>
    <w:p w14:paraId="301F5614" w14:textId="64F57555" w:rsidR="00304141" w:rsidRPr="004A7429" w:rsidRDefault="00304141">
      <w:pPr>
        <w:pStyle w:val="Heading2"/>
      </w:pPr>
      <w:bookmarkStart w:id="204" w:name="_Toc134117643"/>
      <w:r w:rsidRPr="004A7429">
        <w:lastRenderedPageBreak/>
        <w:t>Wraparound Provider Organization Caseload Ratios</w:t>
      </w:r>
      <w:bookmarkEnd w:id="204"/>
    </w:p>
    <w:p w14:paraId="3D361BC0" w14:textId="6EAD88AC" w:rsidR="00304141" w:rsidRPr="00E33B17" w:rsidRDefault="00304141">
      <w:pPr>
        <w:pStyle w:val="ListParagraph"/>
        <w:numPr>
          <w:ilvl w:val="2"/>
          <w:numId w:val="37"/>
        </w:numPr>
        <w:spacing w:before="120" w:after="120"/>
      </w:pPr>
      <w:r w:rsidRPr="00E33B17">
        <w:t xml:space="preserve">Explanation: </w:t>
      </w:r>
      <w:r w:rsidR="004A54B5" w:rsidRPr="00E33B17">
        <w:t xml:space="preserve">At least </w:t>
      </w:r>
      <w:r w:rsidRPr="00E33B17">
        <w:t xml:space="preserve">90% of YES </w:t>
      </w:r>
      <w:r w:rsidR="000B7995" w:rsidRPr="00E33B17">
        <w:t>W</w:t>
      </w:r>
      <w:r w:rsidRPr="00E33B17">
        <w:t xml:space="preserve">aiver </w:t>
      </w:r>
      <w:r w:rsidR="000B7995" w:rsidRPr="00E33B17">
        <w:t>W</w:t>
      </w:r>
      <w:r w:rsidRPr="00E33B17">
        <w:t xml:space="preserve">raparound facilitator staff </w:t>
      </w:r>
      <w:r w:rsidR="002A3ED7" w:rsidRPr="00E33B17">
        <w:t>shall meet</w:t>
      </w:r>
      <w:r w:rsidRPr="00E33B17">
        <w:t xml:space="preserve"> the </w:t>
      </w:r>
      <w:r w:rsidR="000B7995" w:rsidRPr="00E33B17">
        <w:t>W</w:t>
      </w:r>
      <w:r w:rsidRPr="00E33B17">
        <w:t>raparound facilitator</w:t>
      </w:r>
      <w:r w:rsidR="002A3ED7" w:rsidRPr="00E33B17">
        <w:t>–</w:t>
      </w:r>
      <w:r w:rsidRPr="00E33B17">
        <w:t>to</w:t>
      </w:r>
      <w:r w:rsidR="002A3ED7" w:rsidRPr="00E33B17">
        <w:t>–</w:t>
      </w:r>
      <w:r w:rsidRPr="00E33B17">
        <w:t>client ratio of 1 facilitator to 10 clients</w:t>
      </w:r>
      <w:r w:rsidR="006E7FA6" w:rsidRPr="00E33B17">
        <w:t>.</w:t>
      </w:r>
    </w:p>
    <w:p w14:paraId="5FD37076" w14:textId="693463AA" w:rsidR="00304141" w:rsidRPr="00E33B17" w:rsidRDefault="00304141">
      <w:pPr>
        <w:pStyle w:val="ListParagraph"/>
        <w:numPr>
          <w:ilvl w:val="2"/>
          <w:numId w:val="37"/>
        </w:numPr>
        <w:spacing w:before="120" w:after="120"/>
      </w:pPr>
      <w:r w:rsidRPr="00E33B17">
        <w:t>Calculation: (Numerator/Denominator</w:t>
      </w:r>
      <w:r w:rsidR="00C72DF1">
        <w:t xml:space="preserve">) * </w:t>
      </w:r>
      <w:r w:rsidR="003C5BCE" w:rsidRPr="00E33B17">
        <w:t>100</w:t>
      </w:r>
    </w:p>
    <w:p w14:paraId="4D8E454B" w14:textId="12612E2A" w:rsidR="00304141" w:rsidRPr="00E33B17" w:rsidRDefault="00304141">
      <w:pPr>
        <w:pStyle w:val="ListParagraph"/>
        <w:numPr>
          <w:ilvl w:val="2"/>
          <w:numId w:val="37"/>
        </w:numPr>
        <w:spacing w:before="120" w:after="120"/>
      </w:pPr>
      <w:r w:rsidRPr="00E33B17">
        <w:t xml:space="preserve">Numerator: The number of YES Waiver </w:t>
      </w:r>
      <w:r w:rsidR="000B7995" w:rsidRPr="00E33B17">
        <w:t>W</w:t>
      </w:r>
      <w:r w:rsidRPr="00E33B17">
        <w:t>raparound caseloads that are compliant and do not exceed the 1:10 facilitator</w:t>
      </w:r>
      <w:r w:rsidR="004A54B5" w:rsidRPr="00E33B17">
        <w:t>–</w:t>
      </w:r>
      <w:r w:rsidRPr="00E33B17">
        <w:t>to client</w:t>
      </w:r>
      <w:r w:rsidR="004A54B5" w:rsidRPr="00E33B17">
        <w:t>–</w:t>
      </w:r>
      <w:r w:rsidRPr="00E33B17">
        <w:t>ratio</w:t>
      </w:r>
      <w:r w:rsidR="006E7FA6" w:rsidRPr="00E33B17">
        <w:t>.</w:t>
      </w:r>
    </w:p>
    <w:p w14:paraId="660533B2" w14:textId="44FD3FD4" w:rsidR="00304141" w:rsidRPr="00E33B17" w:rsidRDefault="00304141">
      <w:pPr>
        <w:pStyle w:val="ListParagraph"/>
        <w:numPr>
          <w:ilvl w:val="2"/>
          <w:numId w:val="37"/>
        </w:numPr>
        <w:spacing w:before="120" w:after="120"/>
      </w:pPr>
      <w:r w:rsidRPr="00E33B17">
        <w:t xml:space="preserve">Denominator: The total number of </w:t>
      </w:r>
      <w:r w:rsidR="00D63EB9" w:rsidRPr="00E33B17">
        <w:t xml:space="preserve">staff </w:t>
      </w:r>
      <w:r w:rsidRPr="00E33B17">
        <w:t xml:space="preserve">providing </w:t>
      </w:r>
      <w:r w:rsidR="000B7995" w:rsidRPr="00E33B17">
        <w:t>W</w:t>
      </w:r>
      <w:r w:rsidRPr="00E33B17">
        <w:t xml:space="preserve">raparound to individuals in the YES </w:t>
      </w:r>
      <w:r w:rsidR="000B7995" w:rsidRPr="00E33B17">
        <w:t>W</w:t>
      </w:r>
      <w:r w:rsidRPr="00E33B17">
        <w:t>aiver</w:t>
      </w:r>
      <w:r w:rsidR="006E7FA6" w:rsidRPr="00E33B17">
        <w:t>.</w:t>
      </w:r>
    </w:p>
    <w:p w14:paraId="709D319E" w14:textId="19E04E32" w:rsidR="00304141" w:rsidRPr="00E33B17" w:rsidRDefault="00304141">
      <w:pPr>
        <w:pStyle w:val="ListParagraph"/>
        <w:numPr>
          <w:ilvl w:val="2"/>
          <w:numId w:val="37"/>
        </w:numPr>
        <w:spacing w:before="120" w:after="120"/>
      </w:pPr>
      <w:r w:rsidRPr="00E33B17">
        <w:t xml:space="preserve">Exclusion(s)/Exception(s): Providers that have obtained written approval from </w:t>
      </w:r>
      <w:r w:rsidR="00B235DF">
        <w:t>HHSC</w:t>
      </w:r>
      <w:r w:rsidRPr="00E33B17">
        <w:t xml:space="preserve"> to exceed the caseload ratios</w:t>
      </w:r>
      <w:r w:rsidR="006E7FA6" w:rsidRPr="00E33B17">
        <w:t>.</w:t>
      </w:r>
    </w:p>
    <w:p w14:paraId="6CEEC375" w14:textId="4286739E" w:rsidR="00304141" w:rsidRPr="00E33B17" w:rsidRDefault="00304141">
      <w:pPr>
        <w:pStyle w:val="ListParagraph"/>
        <w:numPr>
          <w:ilvl w:val="2"/>
          <w:numId w:val="37"/>
        </w:numPr>
        <w:spacing w:before="120" w:after="120"/>
      </w:pPr>
      <w:r w:rsidRPr="00E33B17">
        <w:t xml:space="preserve">This measure is assessed </w:t>
      </w:r>
      <w:r w:rsidR="00B01D66" w:rsidRPr="00E33B17">
        <w:t>annually</w:t>
      </w:r>
      <w:r w:rsidRPr="00E33B17">
        <w:t xml:space="preserve">. </w:t>
      </w:r>
    </w:p>
    <w:p w14:paraId="1ECD48DB" w14:textId="534234AB" w:rsidR="00304141" w:rsidRDefault="00304141">
      <w:pPr>
        <w:pStyle w:val="ListParagraph"/>
        <w:numPr>
          <w:ilvl w:val="2"/>
          <w:numId w:val="37"/>
        </w:numPr>
        <w:spacing w:before="120" w:after="120"/>
      </w:pPr>
      <w:r w:rsidRPr="00E33B17">
        <w:t>Data Source: CMBHS Average Caseload Report</w:t>
      </w:r>
      <w:r w:rsidR="006E7FA6" w:rsidRPr="00E33B17">
        <w:t>.</w:t>
      </w:r>
    </w:p>
    <w:p w14:paraId="2DEB5379" w14:textId="77777777" w:rsidR="00FF0383" w:rsidRPr="00E33B17" w:rsidRDefault="00FF0383" w:rsidP="00C72DF1">
      <w:pPr>
        <w:spacing w:before="120" w:after="120"/>
      </w:pPr>
    </w:p>
    <w:p w14:paraId="4470BC05" w14:textId="1B663B82" w:rsidR="00304141" w:rsidRPr="004A7429" w:rsidRDefault="00304141">
      <w:pPr>
        <w:pStyle w:val="Heading2"/>
      </w:pPr>
      <w:bookmarkStart w:id="205" w:name="_Toc134117644"/>
      <w:r w:rsidRPr="004A7429">
        <w:t>Transition Plan Development and Submission</w:t>
      </w:r>
      <w:bookmarkEnd w:id="205"/>
    </w:p>
    <w:p w14:paraId="33E9EA14" w14:textId="77777777" w:rsidR="00304141" w:rsidRPr="00E33B17" w:rsidRDefault="00304141">
      <w:pPr>
        <w:pStyle w:val="ListParagraph"/>
        <w:numPr>
          <w:ilvl w:val="2"/>
          <w:numId w:val="38"/>
        </w:numPr>
        <w:spacing w:before="120" w:after="120"/>
      </w:pPr>
      <w:r w:rsidRPr="00E33B17">
        <w:t xml:space="preserve">Explanation: </w:t>
      </w:r>
      <w:r w:rsidR="006E7FA6" w:rsidRPr="00E33B17">
        <w:t>At least 90% of</w:t>
      </w:r>
      <w:r w:rsidRPr="00E33B17">
        <w:t xml:space="preserve"> individuals aging</w:t>
      </w:r>
      <w:r w:rsidR="003C5BCE" w:rsidRPr="00E33B17">
        <w:t xml:space="preserve"> </w:t>
      </w:r>
      <w:r w:rsidRPr="00E33B17">
        <w:t xml:space="preserve">out, transitioning to a different LOC, or graduating </w:t>
      </w:r>
      <w:r w:rsidR="002F3478" w:rsidRPr="00E33B17">
        <w:t>shall have</w:t>
      </w:r>
      <w:r w:rsidRPr="00E33B17">
        <w:t xml:space="preserve"> a Transition plan that was developed and submitted within required timeframes outlined in the YES Policy Manual.</w:t>
      </w:r>
    </w:p>
    <w:p w14:paraId="2FC5C813" w14:textId="7AA6DCF1" w:rsidR="00304141" w:rsidRPr="00E33B17" w:rsidRDefault="00304141">
      <w:pPr>
        <w:pStyle w:val="ListParagraph"/>
        <w:numPr>
          <w:ilvl w:val="2"/>
          <w:numId w:val="38"/>
        </w:numPr>
        <w:spacing w:before="120" w:after="120"/>
      </w:pPr>
      <w:r w:rsidRPr="00E33B17">
        <w:t>Calculation: (Numerator/Denominator</w:t>
      </w:r>
      <w:r w:rsidR="00C72DF1">
        <w:t xml:space="preserve">) * </w:t>
      </w:r>
      <w:r w:rsidR="003C5BCE" w:rsidRPr="00E33B17">
        <w:t>100</w:t>
      </w:r>
    </w:p>
    <w:p w14:paraId="51994D54" w14:textId="3B0E58CE" w:rsidR="00304141" w:rsidRPr="00E33B17" w:rsidRDefault="00304141">
      <w:pPr>
        <w:pStyle w:val="ListParagraph"/>
        <w:numPr>
          <w:ilvl w:val="2"/>
          <w:numId w:val="38"/>
        </w:numPr>
        <w:spacing w:before="120" w:after="120"/>
      </w:pPr>
      <w:r w:rsidRPr="00E33B17">
        <w:t>Numerator: The total number of individuals who aged</w:t>
      </w:r>
      <w:r w:rsidR="003C5BCE" w:rsidRPr="00E33B17">
        <w:t xml:space="preserve"> </w:t>
      </w:r>
      <w:r w:rsidRPr="00E33B17">
        <w:t xml:space="preserve">out, transitioned to a different LOC, or graduated from the </w:t>
      </w:r>
      <w:r w:rsidR="000A028A" w:rsidRPr="00E33B17">
        <w:t>W</w:t>
      </w:r>
      <w:r w:rsidRPr="00E33B17">
        <w:t xml:space="preserve">aiver and had a transition plan that was developed and submitted within </w:t>
      </w:r>
      <w:r w:rsidR="00FC0B82" w:rsidRPr="00E33B17">
        <w:t>required timeframes outlined in the YES Policy</w:t>
      </w:r>
      <w:r w:rsidR="00FC0B82" w:rsidRPr="00E33B17" w:rsidDel="00FC0B82">
        <w:t xml:space="preserve"> </w:t>
      </w:r>
      <w:r w:rsidR="00FC0B82" w:rsidRPr="00E33B17">
        <w:t>Manual</w:t>
      </w:r>
      <w:r w:rsidRPr="00E33B17">
        <w:t>.</w:t>
      </w:r>
    </w:p>
    <w:p w14:paraId="013873D9" w14:textId="6E76F033" w:rsidR="00304141" w:rsidRPr="00E33B17" w:rsidRDefault="00304141">
      <w:pPr>
        <w:pStyle w:val="ListParagraph"/>
        <w:numPr>
          <w:ilvl w:val="2"/>
          <w:numId w:val="38"/>
        </w:numPr>
        <w:spacing w:before="120" w:after="120"/>
      </w:pPr>
      <w:r w:rsidRPr="00E33B17">
        <w:t>Denominator</w:t>
      </w:r>
      <w:r w:rsidR="0068270A">
        <w:t xml:space="preserve">: </w:t>
      </w:r>
      <w:r w:rsidRPr="00E33B17">
        <w:t xml:space="preserve">The total number </w:t>
      </w:r>
      <w:r w:rsidR="00AB2B7B" w:rsidRPr="00E33B17">
        <w:t>o</w:t>
      </w:r>
      <w:r w:rsidRPr="00E33B17">
        <w:t>f individuals who aged</w:t>
      </w:r>
      <w:r w:rsidR="003C5BCE" w:rsidRPr="00E33B17">
        <w:t xml:space="preserve"> </w:t>
      </w:r>
      <w:r w:rsidRPr="00E33B17">
        <w:t xml:space="preserve">out, transitioned to a different LOC, or graduated from the </w:t>
      </w:r>
      <w:r w:rsidR="000A028A" w:rsidRPr="00E33B17">
        <w:t>W</w:t>
      </w:r>
      <w:r w:rsidRPr="00E33B17">
        <w:t xml:space="preserve">aiver </w:t>
      </w:r>
      <w:r w:rsidR="0072569D" w:rsidRPr="00E33B17">
        <w:t>during the reporting period</w:t>
      </w:r>
      <w:r w:rsidRPr="00E33B17">
        <w:t>.</w:t>
      </w:r>
    </w:p>
    <w:p w14:paraId="6DC1079F" w14:textId="77777777" w:rsidR="00304141" w:rsidRPr="00E33B17" w:rsidRDefault="00304141">
      <w:pPr>
        <w:pStyle w:val="ListParagraph"/>
        <w:numPr>
          <w:ilvl w:val="2"/>
          <w:numId w:val="38"/>
        </w:numPr>
        <w:spacing w:before="120" w:after="120"/>
      </w:pPr>
      <w:r w:rsidRPr="00E33B17">
        <w:t>Exclusion(s)/Exception(s): Individuals who disengage from program services unexpectedly</w:t>
      </w:r>
      <w:r w:rsidR="00B62670" w:rsidRPr="00E33B17">
        <w:t>.</w:t>
      </w:r>
    </w:p>
    <w:p w14:paraId="56534A61" w14:textId="63E9CF09" w:rsidR="00B01D66" w:rsidRPr="00E33B17" w:rsidRDefault="00B01D66">
      <w:pPr>
        <w:pStyle w:val="ListParagraph"/>
        <w:numPr>
          <w:ilvl w:val="2"/>
          <w:numId w:val="38"/>
        </w:numPr>
        <w:spacing w:before="120" w:after="120"/>
      </w:pPr>
      <w:r w:rsidRPr="00E33B17">
        <w:t>This measure is assessed annually.</w:t>
      </w:r>
    </w:p>
    <w:p w14:paraId="7F5D0634" w14:textId="13FF6DA7" w:rsidR="00304141" w:rsidRDefault="00304141">
      <w:pPr>
        <w:pStyle w:val="ListParagraph"/>
        <w:numPr>
          <w:ilvl w:val="2"/>
          <w:numId w:val="38"/>
        </w:numPr>
        <w:spacing w:before="120" w:after="120"/>
      </w:pPr>
      <w:r w:rsidRPr="00E33B17">
        <w:t>Data Source: CMBHS Terminations report</w:t>
      </w:r>
      <w:r w:rsidR="0078002C" w:rsidRPr="00E33B17">
        <w:t xml:space="preserve"> –</w:t>
      </w:r>
      <w:r w:rsidRPr="00E33B17">
        <w:t xml:space="preserve"> Transition plans attached to Clinical Eligibility (CE) terminations or Individual Plans of Care (IPC) documents within CMBHS</w:t>
      </w:r>
      <w:r w:rsidR="00B62670" w:rsidRPr="00E33B17">
        <w:t>.</w:t>
      </w:r>
    </w:p>
    <w:p w14:paraId="5293145F" w14:textId="77777777" w:rsidR="00FF0383" w:rsidRPr="00E33B17" w:rsidRDefault="00FF0383" w:rsidP="00C72DF1">
      <w:pPr>
        <w:spacing w:before="120" w:after="120"/>
      </w:pPr>
    </w:p>
    <w:p w14:paraId="2EC3E730" w14:textId="53DD7AA6" w:rsidR="00304141" w:rsidRPr="004A7429" w:rsidRDefault="00304141">
      <w:pPr>
        <w:pStyle w:val="Heading2"/>
      </w:pPr>
      <w:bookmarkStart w:id="206" w:name="_Toc134117645"/>
      <w:r w:rsidRPr="004A7429">
        <w:lastRenderedPageBreak/>
        <w:t xml:space="preserve">Wraparound </w:t>
      </w:r>
      <w:r w:rsidR="002808E7" w:rsidRPr="004A7429">
        <w:t>S</w:t>
      </w:r>
      <w:r w:rsidRPr="004A7429">
        <w:t xml:space="preserve">taff </w:t>
      </w:r>
      <w:r w:rsidR="002808E7" w:rsidRPr="004A7429">
        <w:t>T</w:t>
      </w:r>
      <w:r w:rsidRPr="004A7429">
        <w:t xml:space="preserve">raining and </w:t>
      </w:r>
      <w:r w:rsidR="002808E7" w:rsidRPr="004A7429">
        <w:t>C</w:t>
      </w:r>
      <w:r w:rsidRPr="004A7429">
        <w:t>redentialing</w:t>
      </w:r>
      <w:bookmarkEnd w:id="206"/>
      <w:r w:rsidRPr="004A7429">
        <w:t xml:space="preserve"> </w:t>
      </w:r>
    </w:p>
    <w:p w14:paraId="2C88DE4D" w14:textId="111E565B" w:rsidR="00304141" w:rsidRPr="00E33B17" w:rsidRDefault="00304141">
      <w:pPr>
        <w:pStyle w:val="ListParagraph"/>
        <w:numPr>
          <w:ilvl w:val="2"/>
          <w:numId w:val="32"/>
        </w:numPr>
        <w:spacing w:before="120" w:after="120"/>
      </w:pPr>
      <w:r w:rsidRPr="00E33B17">
        <w:t xml:space="preserve">Explanation: </w:t>
      </w:r>
      <w:r w:rsidR="0078002C" w:rsidRPr="00E33B17">
        <w:t xml:space="preserve">At least </w:t>
      </w:r>
      <w:r w:rsidRPr="00E33B17">
        <w:t xml:space="preserve">90% of </w:t>
      </w:r>
      <w:r w:rsidR="000A028A" w:rsidRPr="00E33B17">
        <w:t>W</w:t>
      </w:r>
      <w:r w:rsidRPr="00E33B17">
        <w:t>raparound staff</w:t>
      </w:r>
      <w:r w:rsidR="00AC4399" w:rsidRPr="00E33B17">
        <w:t xml:space="preserve"> and subcontractor files shall be compliant with employment checks and training requirements</w:t>
      </w:r>
      <w:r w:rsidRPr="00E33B17">
        <w:t xml:space="preserve">. </w:t>
      </w:r>
    </w:p>
    <w:p w14:paraId="19C4FCDA" w14:textId="77777777" w:rsidR="00304141" w:rsidRPr="00E33B17" w:rsidRDefault="00304141">
      <w:pPr>
        <w:pStyle w:val="ListParagraph"/>
        <w:numPr>
          <w:ilvl w:val="2"/>
          <w:numId w:val="32"/>
        </w:numPr>
        <w:spacing w:before="120" w:after="120"/>
      </w:pPr>
      <w:r w:rsidRPr="00E33B17">
        <w:t>Calculation: (Numerator/Denominator)</w:t>
      </w:r>
    </w:p>
    <w:p w14:paraId="3524F89C" w14:textId="15D8094A" w:rsidR="00304141" w:rsidRPr="00E33B17" w:rsidRDefault="00304141">
      <w:pPr>
        <w:pStyle w:val="ListParagraph"/>
        <w:numPr>
          <w:ilvl w:val="2"/>
          <w:numId w:val="32"/>
        </w:numPr>
        <w:spacing w:before="120" w:after="120"/>
      </w:pPr>
      <w:r w:rsidRPr="00E33B17">
        <w:t>Numerator: The number of staff and subcontractor files</w:t>
      </w:r>
      <w:r w:rsidR="00942081" w:rsidRPr="00E33B17">
        <w:t xml:space="preserve">, including </w:t>
      </w:r>
      <w:r w:rsidR="000A028A" w:rsidRPr="00E33B17">
        <w:t>W</w:t>
      </w:r>
      <w:r w:rsidR="00942081" w:rsidRPr="00E33B17">
        <w:t xml:space="preserve">raparound facilitator, </w:t>
      </w:r>
      <w:r w:rsidR="000A028A" w:rsidRPr="00E33B17">
        <w:t>W</w:t>
      </w:r>
      <w:r w:rsidR="00942081" w:rsidRPr="00E33B17">
        <w:t xml:space="preserve">raparound supervisors, and </w:t>
      </w:r>
      <w:r w:rsidR="000A028A" w:rsidRPr="00E33B17">
        <w:t>W</w:t>
      </w:r>
      <w:r w:rsidR="00942081" w:rsidRPr="00E33B17">
        <w:t>raparound team leads, shall have verifiable documentation which substantiates that all criminal history, state and federal registry checks, and training requirements outlined in the YES Policy Manual were completed prior to services being delivered to clients in the YES Waiver</w:t>
      </w:r>
      <w:r w:rsidRPr="00E33B17">
        <w:t>.</w:t>
      </w:r>
    </w:p>
    <w:p w14:paraId="66624219" w14:textId="77777777" w:rsidR="00304141" w:rsidRPr="00E33B17" w:rsidRDefault="00304141">
      <w:pPr>
        <w:pStyle w:val="ListParagraph"/>
        <w:numPr>
          <w:ilvl w:val="2"/>
          <w:numId w:val="32"/>
        </w:numPr>
        <w:spacing w:before="120" w:after="120"/>
      </w:pPr>
      <w:r w:rsidRPr="00E33B17">
        <w:t>Denominator: The total number of staff and subcontractor files reviewed during site or desk reviews.</w:t>
      </w:r>
    </w:p>
    <w:p w14:paraId="628EB995" w14:textId="77777777" w:rsidR="00304141" w:rsidRPr="00E33B17" w:rsidRDefault="00304141">
      <w:pPr>
        <w:pStyle w:val="ListParagraph"/>
        <w:numPr>
          <w:ilvl w:val="2"/>
          <w:numId w:val="32"/>
        </w:numPr>
        <w:spacing w:before="120" w:after="120"/>
      </w:pPr>
      <w:r w:rsidRPr="00E33B17">
        <w:t>Exclusion(s)/Exception(s): N/A</w:t>
      </w:r>
    </w:p>
    <w:p w14:paraId="7A3F93C0" w14:textId="77777777" w:rsidR="00304141" w:rsidRPr="00E33B17" w:rsidRDefault="00304141">
      <w:pPr>
        <w:pStyle w:val="ListParagraph"/>
        <w:numPr>
          <w:ilvl w:val="2"/>
          <w:numId w:val="32"/>
        </w:numPr>
        <w:spacing w:before="120" w:after="120"/>
      </w:pPr>
      <w:r w:rsidRPr="00E33B17">
        <w:t>This measure will be assessed annually.</w:t>
      </w:r>
    </w:p>
    <w:p w14:paraId="741422D6" w14:textId="02CCBB8E" w:rsidR="00304141" w:rsidRDefault="00304141">
      <w:pPr>
        <w:pStyle w:val="ListParagraph"/>
        <w:numPr>
          <w:ilvl w:val="2"/>
          <w:numId w:val="32"/>
        </w:numPr>
        <w:spacing w:before="120" w:after="120"/>
      </w:pPr>
      <w:r w:rsidRPr="00E33B17">
        <w:t>Data Source: Employee and subcontractor files reviewed during desk or site reviews</w:t>
      </w:r>
      <w:r w:rsidR="00B62670" w:rsidRPr="00E33B17">
        <w:t>.</w:t>
      </w:r>
    </w:p>
    <w:p w14:paraId="29F286CD" w14:textId="77777777" w:rsidR="00C72DF1" w:rsidRDefault="00C72DF1"/>
    <w:p w14:paraId="65122FD7" w14:textId="77777777" w:rsidR="00C72DF1" w:rsidRDefault="00C72DF1"/>
    <w:p w14:paraId="06DEC942" w14:textId="77777777" w:rsidR="00C72DF1" w:rsidRDefault="00C72DF1"/>
    <w:p w14:paraId="23D15705" w14:textId="77777777" w:rsidR="00C72DF1" w:rsidRDefault="00C72DF1"/>
    <w:p w14:paraId="0343F801" w14:textId="4CBD958C" w:rsidR="00C72DF1" w:rsidRDefault="00C72DF1" w:rsidP="00B235DF">
      <w:pPr>
        <w:jc w:val="center"/>
      </w:pPr>
      <w:r>
        <w:rPr>
          <w:i/>
          <w:iCs/>
        </w:rPr>
        <w:t>Remainder of Page Intentionally Left Blank</w:t>
      </w:r>
      <w:r>
        <w:br w:type="page"/>
      </w:r>
    </w:p>
    <w:p w14:paraId="43894FC6" w14:textId="1E186754" w:rsidR="00BC3EC0" w:rsidRDefault="00081C58">
      <w:pPr>
        <w:pStyle w:val="Heading1"/>
      </w:pPr>
      <w:bookmarkStart w:id="207" w:name="_Toc2924099"/>
      <w:bookmarkStart w:id="208" w:name="_Toc2924156"/>
      <w:bookmarkStart w:id="209" w:name="_Toc134117646"/>
      <w:bookmarkEnd w:id="207"/>
      <w:bookmarkEnd w:id="208"/>
      <w:r w:rsidRPr="004A7429">
        <w:lastRenderedPageBreak/>
        <w:t>Uniform Assessment Instructions</w:t>
      </w:r>
      <w:bookmarkEnd w:id="209"/>
    </w:p>
    <w:p w14:paraId="2940D49D" w14:textId="77777777" w:rsidR="00FF0383" w:rsidRPr="00C72DF1" w:rsidRDefault="00FF0383" w:rsidP="00C72DF1">
      <w:pPr>
        <w:spacing w:before="240" w:after="240"/>
        <w:rPr>
          <w:b/>
          <w:bCs/>
          <w:sz w:val="28"/>
          <w:szCs w:val="28"/>
        </w:rPr>
      </w:pPr>
    </w:p>
    <w:p w14:paraId="05C6254B" w14:textId="77777777" w:rsidR="00081C58" w:rsidRPr="004A7429" w:rsidRDefault="009640BE">
      <w:pPr>
        <w:pStyle w:val="Heading2"/>
      </w:pPr>
      <w:bookmarkStart w:id="210" w:name="_Toc134117647"/>
      <w:r w:rsidRPr="004A7429">
        <w:t>Adult Uniform Assessment</w:t>
      </w:r>
      <w:r w:rsidR="00814244" w:rsidRPr="004A7429">
        <w:t xml:space="preserve"> (UA)</w:t>
      </w:r>
      <w:bookmarkEnd w:id="210"/>
    </w:p>
    <w:p w14:paraId="1D9150DE" w14:textId="7234362C" w:rsidR="009640BE" w:rsidRPr="00E33B17" w:rsidRDefault="009640BE" w:rsidP="00C72DF1">
      <w:r w:rsidRPr="00E33B17">
        <w:t xml:space="preserve">The </w:t>
      </w:r>
      <w:r w:rsidR="00B235DF">
        <w:t>HHSC</w:t>
      </w:r>
      <w:r w:rsidRPr="00E33B17">
        <w:t xml:space="preserve"> approved UA for adults include the instruments outlined below.  These instruments are required to be completed once an individual has been screened and determined in need of assessment from the </w:t>
      </w:r>
      <w:r w:rsidR="00B235DF">
        <w:t>Grantee</w:t>
      </w:r>
      <w:r w:rsidR="00C72DF1">
        <w:t xml:space="preserve">.  </w:t>
      </w:r>
      <w:r w:rsidRPr="00E33B17">
        <w:t>The initial assessment is the clinical process of obtaining and evaluating historical, social, functional, psychiatric, developmental or other information from the individual seeking services in order to determine specific treatment and support needs</w:t>
      </w:r>
      <w:r w:rsidR="00C72DF1">
        <w:t xml:space="preserve">.  </w:t>
      </w:r>
      <w:r w:rsidR="009361C7" w:rsidRPr="00E33B17">
        <w:t>The person</w:t>
      </w:r>
      <w:r w:rsidRPr="00E33B17">
        <w:t xml:space="preserve"> administering the instruments must be </w:t>
      </w:r>
      <w:r w:rsidR="00BE6A02" w:rsidRPr="00E33B17">
        <w:t>at a minimum</w:t>
      </w:r>
      <w:r w:rsidR="009361C7" w:rsidRPr="00E33B17">
        <w:t xml:space="preserve"> a</w:t>
      </w:r>
      <w:r w:rsidR="00BE6A02" w:rsidRPr="00E33B17">
        <w:t xml:space="preserve"> </w:t>
      </w:r>
      <w:r w:rsidRPr="00E33B17">
        <w:t>Quali</w:t>
      </w:r>
      <w:r w:rsidR="009361C7" w:rsidRPr="00E33B17">
        <w:t>fied Mental Health Professional – Community Services (QMHP</w:t>
      </w:r>
      <w:r w:rsidR="007D2683" w:rsidRPr="00E33B17">
        <w:t>–</w:t>
      </w:r>
      <w:r w:rsidR="009361C7" w:rsidRPr="00E33B17">
        <w:t>CS</w:t>
      </w:r>
      <w:r w:rsidRPr="00E33B17">
        <w:t>)</w:t>
      </w:r>
      <w:r w:rsidR="00C96E04" w:rsidRPr="00E33B17">
        <w:t>; additionally, the person administering the ANSA must have</w:t>
      </w:r>
      <w:r w:rsidR="009361C7" w:rsidRPr="00E33B17">
        <w:t xml:space="preserve"> documented current certification in the use of the ANSA</w:t>
      </w:r>
      <w:r w:rsidRPr="00E33B17">
        <w:t>. However, the Diagnosis</w:t>
      </w:r>
      <w:r w:rsidR="007D2683" w:rsidRPr="00E33B17">
        <w:t>–</w:t>
      </w:r>
      <w:r w:rsidRPr="00E33B17">
        <w:t>specific Clinical Rating Scales may be administered by a Licensed Vocational Nurse (LVN). Staff must have documented training in the use of these instruments</w:t>
      </w:r>
      <w:r w:rsidR="00940CB7" w:rsidRPr="00E33B17">
        <w:t>.</w:t>
      </w:r>
    </w:p>
    <w:p w14:paraId="6AD804FA" w14:textId="77777777" w:rsidR="00940CB7" w:rsidRPr="00E33B17" w:rsidRDefault="00940CB7">
      <w:pPr>
        <w:pStyle w:val="ListParagraph"/>
        <w:numPr>
          <w:ilvl w:val="2"/>
          <w:numId w:val="40"/>
        </w:numPr>
        <w:spacing w:before="120" w:after="120"/>
        <w:ind w:left="1440" w:hanging="720"/>
      </w:pPr>
      <w:r w:rsidRPr="00E33B17">
        <w:t>Adult Needs Strengths Assessment (ANSA);</w:t>
      </w:r>
    </w:p>
    <w:p w14:paraId="7C43CABA" w14:textId="77777777" w:rsidR="00940CB7" w:rsidRPr="00E33B17" w:rsidRDefault="0082311C">
      <w:pPr>
        <w:pStyle w:val="ListParagraph"/>
        <w:numPr>
          <w:ilvl w:val="2"/>
          <w:numId w:val="40"/>
        </w:numPr>
        <w:spacing w:before="120" w:after="120"/>
        <w:ind w:left="1440" w:hanging="720"/>
      </w:pPr>
      <w:r w:rsidRPr="00E33B17">
        <w:t>Diagnosis</w:t>
      </w:r>
      <w:r w:rsidR="007D2683" w:rsidRPr="00E33B17">
        <w:t>–</w:t>
      </w:r>
      <w:r w:rsidR="00940CB7" w:rsidRPr="00E33B17">
        <w:t>specific Clinical Rating Scales; and</w:t>
      </w:r>
    </w:p>
    <w:p w14:paraId="4FC52E97" w14:textId="77777777" w:rsidR="00940CB7" w:rsidRPr="00E33B17" w:rsidRDefault="00940CB7">
      <w:pPr>
        <w:pStyle w:val="ListParagraph"/>
        <w:numPr>
          <w:ilvl w:val="2"/>
          <w:numId w:val="40"/>
        </w:numPr>
        <w:spacing w:before="120" w:after="120"/>
        <w:ind w:left="1440" w:hanging="720"/>
      </w:pPr>
      <w:r w:rsidRPr="00E33B17">
        <w:t>Community Data.</w:t>
      </w:r>
    </w:p>
    <w:p w14:paraId="5A993BC8" w14:textId="77777777" w:rsidR="00940CB7" w:rsidRPr="00E33B17" w:rsidRDefault="00940CB7" w:rsidP="00C72DF1">
      <w:r w:rsidRPr="00E33B17">
        <w:t xml:space="preserve">Assessment Timeframes: The UA shall be administered </w:t>
      </w:r>
      <w:proofErr w:type="gramStart"/>
      <w:r w:rsidRPr="00E33B17">
        <w:t>according</w:t>
      </w:r>
      <w:proofErr w:type="gramEnd"/>
      <w:r w:rsidRPr="00E33B17">
        <w:t xml:space="preserve"> the following schedule</w:t>
      </w:r>
      <w:r w:rsidR="00A45E0F" w:rsidRPr="00E33B17">
        <w:t>:</w:t>
      </w:r>
    </w:p>
    <w:tbl>
      <w:tblPr>
        <w:tblW w:w="9360" w:type="dxa"/>
        <w:jc w:val="center"/>
        <w:tblLayout w:type="fixed"/>
        <w:tblCellMar>
          <w:left w:w="120" w:type="dxa"/>
          <w:right w:w="120" w:type="dxa"/>
        </w:tblCellMar>
        <w:tblLook w:val="0000" w:firstRow="0" w:lastRow="0" w:firstColumn="0" w:lastColumn="0" w:noHBand="0" w:noVBand="0"/>
        <w:tblCaption w:val="Child UA Assessment Table"/>
      </w:tblPr>
      <w:tblGrid>
        <w:gridCol w:w="4680"/>
        <w:gridCol w:w="4680"/>
      </w:tblGrid>
      <w:tr w:rsidR="00A45E0F" w:rsidRPr="00E33B17" w14:paraId="2C0A9D16" w14:textId="77777777" w:rsidTr="008E2506">
        <w:trPr>
          <w:tblHeader/>
          <w:jc w:val="center"/>
        </w:trPr>
        <w:tc>
          <w:tcPr>
            <w:tcW w:w="4680" w:type="dxa"/>
            <w:tcBorders>
              <w:top w:val="single" w:sz="2" w:space="0" w:color="000000"/>
              <w:left w:val="single" w:sz="2" w:space="0" w:color="000000"/>
              <w:bottom w:val="single" w:sz="2" w:space="0" w:color="000000"/>
              <w:right w:val="single" w:sz="2" w:space="0" w:color="000000"/>
            </w:tcBorders>
            <w:shd w:val="pct5" w:color="auto" w:fill="FFFFFF"/>
            <w:vAlign w:val="center"/>
          </w:tcPr>
          <w:p w14:paraId="43975B32" w14:textId="77777777" w:rsidR="00A45E0F" w:rsidRPr="00C72DF1" w:rsidRDefault="00A45E0F" w:rsidP="00C72DF1">
            <w:pPr>
              <w:rPr>
                <w:b/>
                <w:bCs/>
              </w:rPr>
            </w:pPr>
            <w:r w:rsidRPr="00FF0383">
              <w:rPr>
                <w:b/>
                <w:bCs/>
              </w:rPr>
              <w:t>SECTION</w:t>
            </w:r>
          </w:p>
        </w:tc>
        <w:tc>
          <w:tcPr>
            <w:tcW w:w="4680" w:type="dxa"/>
            <w:tcBorders>
              <w:top w:val="single" w:sz="2" w:space="0" w:color="000000"/>
              <w:left w:val="single" w:sz="2" w:space="0" w:color="000000"/>
              <w:bottom w:val="single" w:sz="2" w:space="0" w:color="000000"/>
              <w:right w:val="single" w:sz="2" w:space="0" w:color="000000"/>
            </w:tcBorders>
            <w:shd w:val="pct5" w:color="auto" w:fill="FFFFFF"/>
            <w:vAlign w:val="center"/>
          </w:tcPr>
          <w:p w14:paraId="20926A74" w14:textId="77777777" w:rsidR="00A45E0F" w:rsidRPr="00C72DF1" w:rsidRDefault="00A45E0F" w:rsidP="00C72DF1">
            <w:pPr>
              <w:rPr>
                <w:b/>
                <w:bCs/>
              </w:rPr>
            </w:pPr>
            <w:r w:rsidRPr="00FF0383">
              <w:rPr>
                <w:b/>
                <w:bCs/>
              </w:rPr>
              <w:t>FREQUENCY</w:t>
            </w:r>
          </w:p>
        </w:tc>
      </w:tr>
      <w:tr w:rsidR="00A45E0F" w:rsidRPr="00E33B17" w14:paraId="1B477B88" w14:textId="77777777" w:rsidTr="008E2506">
        <w:trPr>
          <w:jc w:val="center"/>
        </w:trPr>
        <w:tc>
          <w:tcPr>
            <w:tcW w:w="4680" w:type="dxa"/>
            <w:tcBorders>
              <w:left w:val="single" w:sz="7" w:space="0" w:color="000000"/>
              <w:bottom w:val="single" w:sz="7" w:space="0" w:color="000000"/>
              <w:right w:val="single" w:sz="7" w:space="0" w:color="000000"/>
            </w:tcBorders>
          </w:tcPr>
          <w:p w14:paraId="2E3930A2" w14:textId="77777777" w:rsidR="00A45E0F" w:rsidRPr="00C72DF1" w:rsidRDefault="00A45E0F" w:rsidP="00C72DF1">
            <w:r w:rsidRPr="00C72DF1">
              <w:t xml:space="preserve">Adult Needs Strengths Assessment (ANSA) </w:t>
            </w:r>
          </w:p>
        </w:tc>
        <w:tc>
          <w:tcPr>
            <w:tcW w:w="4680" w:type="dxa"/>
            <w:tcBorders>
              <w:left w:val="single" w:sz="7" w:space="0" w:color="000000"/>
              <w:bottom w:val="single" w:sz="7" w:space="0" w:color="000000"/>
              <w:right w:val="single" w:sz="7" w:space="0" w:color="000000"/>
            </w:tcBorders>
          </w:tcPr>
          <w:p w14:paraId="630B6FF2" w14:textId="77777777" w:rsidR="00A45E0F" w:rsidRPr="00E33B17" w:rsidRDefault="00A45E0F">
            <w:pPr>
              <w:pStyle w:val="ListParagraph"/>
              <w:numPr>
                <w:ilvl w:val="0"/>
                <w:numId w:val="39"/>
              </w:numPr>
              <w:ind w:left="331"/>
            </w:pPr>
            <w:r w:rsidRPr="00E33B17">
              <w:t>upon admission</w:t>
            </w:r>
          </w:p>
          <w:p w14:paraId="48D2807D" w14:textId="77777777" w:rsidR="00A45E0F" w:rsidRPr="00E33B17" w:rsidRDefault="00A45E0F">
            <w:pPr>
              <w:pStyle w:val="ListParagraph"/>
              <w:numPr>
                <w:ilvl w:val="0"/>
                <w:numId w:val="39"/>
              </w:numPr>
              <w:ind w:left="331"/>
            </w:pPr>
            <w:r w:rsidRPr="00E33B17">
              <w:t>every 180 days for LOC</w:t>
            </w:r>
            <w:r w:rsidR="007D2683" w:rsidRPr="00E33B17">
              <w:t>–</w:t>
            </w:r>
            <w:r w:rsidRPr="00E33B17">
              <w:t>1S</w:t>
            </w:r>
            <w:r w:rsidR="00377A15" w:rsidRPr="00E33B17">
              <w:t xml:space="preserve"> through </w:t>
            </w:r>
            <w:r w:rsidRPr="00E33B17">
              <w:t>LOC</w:t>
            </w:r>
            <w:r w:rsidR="007D2683" w:rsidRPr="00E33B17">
              <w:t>–</w:t>
            </w:r>
            <w:r w:rsidRPr="00E33B17">
              <w:t>4</w:t>
            </w:r>
          </w:p>
          <w:p w14:paraId="4E9812A0" w14:textId="77777777" w:rsidR="00A45E0F" w:rsidRPr="00E33B17" w:rsidRDefault="00A45E0F">
            <w:pPr>
              <w:pStyle w:val="ListParagraph"/>
              <w:numPr>
                <w:ilvl w:val="0"/>
                <w:numId w:val="39"/>
              </w:numPr>
              <w:ind w:left="331"/>
            </w:pPr>
            <w:r w:rsidRPr="00E33B17">
              <w:t>every 365 days for LOC</w:t>
            </w:r>
            <w:r w:rsidR="007D2683" w:rsidRPr="00E33B17">
              <w:t>–</w:t>
            </w:r>
            <w:r w:rsidRPr="00E33B17">
              <w:t>1M</w:t>
            </w:r>
          </w:p>
          <w:p w14:paraId="3B0F6E73" w14:textId="77777777" w:rsidR="00A45E0F" w:rsidRPr="00E33B17" w:rsidRDefault="00A45E0F">
            <w:pPr>
              <w:pStyle w:val="ListParagraph"/>
              <w:numPr>
                <w:ilvl w:val="0"/>
                <w:numId w:val="39"/>
              </w:numPr>
              <w:ind w:left="331"/>
            </w:pPr>
            <w:r w:rsidRPr="00E33B17">
              <w:t>upon any other change in condition</w:t>
            </w:r>
          </w:p>
          <w:p w14:paraId="5A0D01F3" w14:textId="77777777" w:rsidR="00A45E0F" w:rsidRPr="00E33B17" w:rsidRDefault="00A45E0F">
            <w:pPr>
              <w:pStyle w:val="ListParagraph"/>
              <w:numPr>
                <w:ilvl w:val="0"/>
                <w:numId w:val="39"/>
              </w:numPr>
              <w:ind w:left="331"/>
            </w:pPr>
            <w:r w:rsidRPr="00E33B17">
              <w:t>upon discharge</w:t>
            </w:r>
          </w:p>
          <w:p w14:paraId="4010AEC1" w14:textId="77777777" w:rsidR="00A45E0F" w:rsidRPr="00E33B17" w:rsidRDefault="00A45E0F">
            <w:pPr>
              <w:pStyle w:val="ListParagraph"/>
              <w:numPr>
                <w:ilvl w:val="0"/>
                <w:numId w:val="39"/>
              </w:numPr>
              <w:ind w:left="331"/>
            </w:pPr>
            <w:r w:rsidRPr="00E33B17">
              <w:t>following any crisis event</w:t>
            </w:r>
          </w:p>
          <w:p w14:paraId="5B0CF608" w14:textId="77777777" w:rsidR="00A45E0F" w:rsidRPr="00E33B17" w:rsidRDefault="00A45E0F">
            <w:pPr>
              <w:pStyle w:val="ListParagraph"/>
              <w:numPr>
                <w:ilvl w:val="0"/>
                <w:numId w:val="39"/>
              </w:numPr>
              <w:ind w:left="331"/>
            </w:pPr>
            <w:r w:rsidRPr="00E33B17">
              <w:t>following any hospitalization</w:t>
            </w:r>
          </w:p>
        </w:tc>
      </w:tr>
      <w:tr w:rsidR="00A45E0F" w:rsidRPr="00E33B17" w14:paraId="37EDA75E" w14:textId="77777777" w:rsidTr="008E2506">
        <w:trPr>
          <w:jc w:val="center"/>
        </w:trPr>
        <w:tc>
          <w:tcPr>
            <w:tcW w:w="4680" w:type="dxa"/>
            <w:tcBorders>
              <w:top w:val="single" w:sz="7" w:space="0" w:color="000000"/>
              <w:left w:val="single" w:sz="7" w:space="0" w:color="000000"/>
              <w:bottom w:val="single" w:sz="7" w:space="0" w:color="000000"/>
              <w:right w:val="single" w:sz="7" w:space="0" w:color="000000"/>
            </w:tcBorders>
          </w:tcPr>
          <w:p w14:paraId="205AD618" w14:textId="77777777" w:rsidR="00A45E0F" w:rsidRPr="00C72DF1" w:rsidRDefault="0082311C" w:rsidP="00C72DF1">
            <w:r w:rsidRPr="00C72DF1">
              <w:t>Diagnosis</w:t>
            </w:r>
            <w:r w:rsidR="007D2683" w:rsidRPr="00C72DF1">
              <w:t>–</w:t>
            </w:r>
            <w:r w:rsidR="00A45E0F" w:rsidRPr="00C72DF1">
              <w:t>Specific Rating Scales:</w:t>
            </w:r>
          </w:p>
        </w:tc>
        <w:tc>
          <w:tcPr>
            <w:tcW w:w="4680" w:type="dxa"/>
            <w:tcBorders>
              <w:top w:val="single" w:sz="7" w:space="0" w:color="000000"/>
              <w:left w:val="single" w:sz="7" w:space="0" w:color="000000"/>
              <w:bottom w:val="single" w:sz="7" w:space="0" w:color="000000"/>
              <w:right w:val="single" w:sz="7" w:space="0" w:color="000000"/>
            </w:tcBorders>
          </w:tcPr>
          <w:p w14:paraId="57D40759" w14:textId="77777777" w:rsidR="00A45E0F" w:rsidRPr="00E33B17" w:rsidRDefault="00A45E0F">
            <w:pPr>
              <w:pStyle w:val="ListParagraph"/>
              <w:numPr>
                <w:ilvl w:val="0"/>
                <w:numId w:val="39"/>
              </w:numPr>
              <w:ind w:left="331"/>
            </w:pPr>
            <w:r w:rsidRPr="00E33B17">
              <w:t>upon admission</w:t>
            </w:r>
          </w:p>
          <w:p w14:paraId="7C2AB6BF" w14:textId="580F1FEF" w:rsidR="00A45E0F" w:rsidRPr="00E33B17" w:rsidRDefault="005D48DC">
            <w:pPr>
              <w:pStyle w:val="ListParagraph"/>
              <w:numPr>
                <w:ilvl w:val="0"/>
                <w:numId w:val="39"/>
              </w:numPr>
              <w:ind w:left="331"/>
            </w:pPr>
            <w:r w:rsidRPr="00E33B17">
              <w:t xml:space="preserve">every </w:t>
            </w:r>
            <w:r w:rsidR="00A45E0F" w:rsidRPr="00E33B17">
              <w:t>180 days (unless no pharmacological appointment required within 180 days)</w:t>
            </w:r>
          </w:p>
          <w:p w14:paraId="0DB1C04A" w14:textId="77777777" w:rsidR="00A45E0F" w:rsidRPr="00E33B17" w:rsidRDefault="00A45E0F">
            <w:pPr>
              <w:pStyle w:val="ListParagraph"/>
              <w:numPr>
                <w:ilvl w:val="0"/>
                <w:numId w:val="39"/>
              </w:numPr>
              <w:ind w:left="331"/>
            </w:pPr>
            <w:r w:rsidRPr="00E33B17">
              <w:t>upon discharge</w:t>
            </w:r>
          </w:p>
          <w:p w14:paraId="772A96F2" w14:textId="77777777" w:rsidR="00A45E0F" w:rsidRPr="00E33B17" w:rsidRDefault="00A45E0F">
            <w:pPr>
              <w:pStyle w:val="ListParagraph"/>
              <w:numPr>
                <w:ilvl w:val="0"/>
                <w:numId w:val="39"/>
              </w:numPr>
              <w:ind w:left="331"/>
            </w:pPr>
            <w:r w:rsidRPr="00E33B17">
              <w:lastRenderedPageBreak/>
              <w:t>These scales are not required for individuals who are not part of the Target Population.</w:t>
            </w:r>
          </w:p>
        </w:tc>
      </w:tr>
      <w:tr w:rsidR="00A45E0F" w:rsidRPr="00E33B17" w14:paraId="57547194" w14:textId="77777777" w:rsidTr="008E2506">
        <w:trPr>
          <w:jc w:val="center"/>
        </w:trPr>
        <w:tc>
          <w:tcPr>
            <w:tcW w:w="4680" w:type="dxa"/>
            <w:tcBorders>
              <w:top w:val="single" w:sz="7" w:space="0" w:color="000000"/>
              <w:left w:val="single" w:sz="7" w:space="0" w:color="000000"/>
              <w:bottom w:val="single" w:sz="7" w:space="0" w:color="000000"/>
              <w:right w:val="single" w:sz="7" w:space="0" w:color="000000"/>
            </w:tcBorders>
          </w:tcPr>
          <w:p w14:paraId="333A98E4" w14:textId="77777777" w:rsidR="00A45E0F" w:rsidRPr="00C72DF1" w:rsidRDefault="00A45E0F" w:rsidP="00C72DF1">
            <w:r w:rsidRPr="00C72DF1">
              <w:lastRenderedPageBreak/>
              <w:t>Community Data</w:t>
            </w:r>
          </w:p>
        </w:tc>
        <w:tc>
          <w:tcPr>
            <w:tcW w:w="4680" w:type="dxa"/>
            <w:tcBorders>
              <w:top w:val="single" w:sz="7" w:space="0" w:color="000000"/>
              <w:left w:val="single" w:sz="7" w:space="0" w:color="000000"/>
              <w:bottom w:val="single" w:sz="7" w:space="0" w:color="000000"/>
              <w:right w:val="single" w:sz="7" w:space="0" w:color="000000"/>
            </w:tcBorders>
          </w:tcPr>
          <w:p w14:paraId="6A083133" w14:textId="77777777" w:rsidR="00A45E0F" w:rsidRPr="00E33B17" w:rsidRDefault="00A45E0F">
            <w:pPr>
              <w:pStyle w:val="ListParagraph"/>
              <w:numPr>
                <w:ilvl w:val="0"/>
                <w:numId w:val="39"/>
              </w:numPr>
              <w:ind w:left="331"/>
            </w:pPr>
            <w:r w:rsidRPr="00E33B17">
              <w:t>every time Section 1 is completed</w:t>
            </w:r>
          </w:p>
        </w:tc>
      </w:tr>
      <w:tr w:rsidR="00A45E0F" w:rsidRPr="00E33B17" w14:paraId="737A7324" w14:textId="77777777" w:rsidTr="008E2506">
        <w:trPr>
          <w:jc w:val="center"/>
        </w:trPr>
        <w:tc>
          <w:tcPr>
            <w:tcW w:w="4680" w:type="dxa"/>
            <w:tcBorders>
              <w:top w:val="single" w:sz="7" w:space="0" w:color="000000"/>
              <w:left w:val="single" w:sz="7" w:space="0" w:color="000000"/>
              <w:bottom w:val="single" w:sz="7" w:space="0" w:color="000000"/>
              <w:right w:val="single" w:sz="7" w:space="0" w:color="000000"/>
            </w:tcBorders>
          </w:tcPr>
          <w:p w14:paraId="5D9624DD" w14:textId="77777777" w:rsidR="00A45E0F" w:rsidRPr="00C72DF1" w:rsidRDefault="00A45E0F" w:rsidP="00C72DF1">
            <w:r w:rsidRPr="00C72DF1">
              <w:t>Authorizations</w:t>
            </w:r>
          </w:p>
        </w:tc>
        <w:tc>
          <w:tcPr>
            <w:tcW w:w="4680" w:type="dxa"/>
            <w:tcBorders>
              <w:top w:val="single" w:sz="7" w:space="0" w:color="000000"/>
              <w:left w:val="single" w:sz="7" w:space="0" w:color="000000"/>
              <w:bottom w:val="single" w:sz="7" w:space="0" w:color="000000"/>
              <w:right w:val="single" w:sz="7" w:space="0" w:color="000000"/>
            </w:tcBorders>
          </w:tcPr>
          <w:p w14:paraId="641113EA" w14:textId="22EC6EC7" w:rsidR="00A45E0F" w:rsidRPr="00E33B17" w:rsidRDefault="0054332E">
            <w:pPr>
              <w:pStyle w:val="ListParagraph"/>
              <w:numPr>
                <w:ilvl w:val="0"/>
                <w:numId w:val="39"/>
              </w:numPr>
              <w:ind w:left="331"/>
            </w:pPr>
            <w:r w:rsidRPr="00E33B17">
              <w:t>L</w:t>
            </w:r>
            <w:r w:rsidR="005D48DC" w:rsidRPr="00E33B17">
              <w:t>OC</w:t>
            </w:r>
            <w:r w:rsidR="007D2683" w:rsidRPr="00E33B17">
              <w:t>–</w:t>
            </w:r>
            <w:r w:rsidR="00A45E0F" w:rsidRPr="00E33B17">
              <w:t>1M</w:t>
            </w:r>
            <w:r w:rsidR="0068270A">
              <w:t xml:space="preserve">: </w:t>
            </w:r>
            <w:r w:rsidR="00A45E0F" w:rsidRPr="00E33B17">
              <w:t>Annually</w:t>
            </w:r>
          </w:p>
          <w:p w14:paraId="7E35EBD8" w14:textId="77777777" w:rsidR="00A45E0F" w:rsidRPr="00E33B17" w:rsidRDefault="0054332E">
            <w:pPr>
              <w:pStyle w:val="ListParagraph"/>
              <w:numPr>
                <w:ilvl w:val="0"/>
                <w:numId w:val="39"/>
              </w:numPr>
              <w:ind w:left="331"/>
            </w:pPr>
            <w:r w:rsidRPr="00E33B17">
              <w:t>LOC</w:t>
            </w:r>
            <w:r w:rsidR="007D2683" w:rsidRPr="00E33B17">
              <w:t>–</w:t>
            </w:r>
            <w:r w:rsidR="005D48DC" w:rsidRPr="00E33B17">
              <w:t>1S</w:t>
            </w:r>
            <w:r w:rsidR="00435134" w:rsidRPr="00E33B17">
              <w:t xml:space="preserve"> through LOC</w:t>
            </w:r>
            <w:r w:rsidR="007D2683" w:rsidRPr="00E33B17">
              <w:t>–</w:t>
            </w:r>
            <w:r w:rsidR="00435134" w:rsidRPr="00E33B17">
              <w:t>4</w:t>
            </w:r>
            <w:r w:rsidR="005D48DC" w:rsidRPr="00E33B17">
              <w:t>:</w:t>
            </w:r>
            <w:r w:rsidR="00A45E0F" w:rsidRPr="00E33B17">
              <w:t xml:space="preserve"> </w:t>
            </w:r>
            <w:r w:rsidR="00FD5A0F" w:rsidRPr="00E33B17">
              <w:t xml:space="preserve">every </w:t>
            </w:r>
            <w:r w:rsidR="00A45E0F" w:rsidRPr="00E33B17">
              <w:t xml:space="preserve">180 days </w:t>
            </w:r>
          </w:p>
          <w:p w14:paraId="75A5B6A0" w14:textId="77777777" w:rsidR="00A45E0F" w:rsidRPr="00E33B17" w:rsidRDefault="0054332E">
            <w:pPr>
              <w:pStyle w:val="ListParagraph"/>
              <w:numPr>
                <w:ilvl w:val="0"/>
                <w:numId w:val="39"/>
              </w:numPr>
              <w:ind w:left="331"/>
            </w:pPr>
            <w:r w:rsidRPr="00E33B17">
              <w:t>LOC</w:t>
            </w:r>
            <w:r w:rsidR="007D2683" w:rsidRPr="00E33B17">
              <w:t>–</w:t>
            </w:r>
            <w:r w:rsidR="005D48DC" w:rsidRPr="00E33B17">
              <w:t xml:space="preserve">5: </w:t>
            </w:r>
            <w:r w:rsidR="00FD5A0F" w:rsidRPr="00E33B17">
              <w:t xml:space="preserve">every </w:t>
            </w:r>
            <w:r w:rsidR="00A45E0F" w:rsidRPr="00E33B17">
              <w:t>90 days</w:t>
            </w:r>
          </w:p>
          <w:p w14:paraId="715C0D63" w14:textId="77777777" w:rsidR="00A45E0F" w:rsidRPr="00E33B17" w:rsidRDefault="0054332E">
            <w:pPr>
              <w:pStyle w:val="ListParagraph"/>
              <w:numPr>
                <w:ilvl w:val="0"/>
                <w:numId w:val="39"/>
              </w:numPr>
              <w:ind w:left="331"/>
            </w:pPr>
            <w:r w:rsidRPr="00E33B17">
              <w:t>LOC</w:t>
            </w:r>
            <w:r w:rsidR="007D2683" w:rsidRPr="00E33B17">
              <w:t>–</w:t>
            </w:r>
            <w:r w:rsidR="005D48DC" w:rsidRPr="00E33B17">
              <w:t xml:space="preserve">0: </w:t>
            </w:r>
            <w:r w:rsidR="00FD5A0F" w:rsidRPr="00E33B17">
              <w:t xml:space="preserve">every </w:t>
            </w:r>
            <w:r w:rsidR="00A45E0F" w:rsidRPr="00E33B17">
              <w:t>7 days</w:t>
            </w:r>
          </w:p>
        </w:tc>
      </w:tr>
    </w:tbl>
    <w:p w14:paraId="3BA026BD" w14:textId="77777777" w:rsidR="00A45E0F" w:rsidRPr="00E33B17" w:rsidRDefault="00A45E0F" w:rsidP="00E33B17"/>
    <w:p w14:paraId="0C7C6B1A" w14:textId="63629218" w:rsidR="004A7429" w:rsidRDefault="00A45E0F">
      <w:r w:rsidRPr="00E33B17">
        <w:t xml:space="preserve">Assessments in CARE/CMBHS: Data must be submitted through WebCARE/ CMBHS or through an approved batch to the CARE/CMBHS system according to the schedule and formats established by </w:t>
      </w:r>
      <w:r w:rsidR="00B235DF">
        <w:t>HHSC</w:t>
      </w:r>
      <w:r w:rsidRPr="00E33B17">
        <w:t>.</w:t>
      </w:r>
    </w:p>
    <w:p w14:paraId="6D8884EB" w14:textId="77777777" w:rsidR="004A7429" w:rsidRPr="00E33B17" w:rsidRDefault="004A7429" w:rsidP="00E33B17"/>
    <w:p w14:paraId="78A8BD5D" w14:textId="77777777" w:rsidR="00A45E0F" w:rsidRPr="004A7429" w:rsidRDefault="00A45E0F">
      <w:pPr>
        <w:pStyle w:val="Heading2"/>
      </w:pPr>
      <w:bookmarkStart w:id="211" w:name="_Toc134117648"/>
      <w:r w:rsidRPr="004A7429">
        <w:t>Child and Adolescent Uniform Assessment</w:t>
      </w:r>
      <w:bookmarkEnd w:id="211"/>
    </w:p>
    <w:p w14:paraId="7C7593E4" w14:textId="1E5D1881" w:rsidR="00A45E0F" w:rsidRPr="00E33B17" w:rsidRDefault="00A45E0F" w:rsidP="00C72DF1">
      <w:r w:rsidRPr="00E33B17">
        <w:t xml:space="preserve">The </w:t>
      </w:r>
      <w:r w:rsidR="00B235DF">
        <w:t>HHSC</w:t>
      </w:r>
      <w:r w:rsidRPr="00E33B17">
        <w:t xml:space="preserve"> approved UA for </w:t>
      </w:r>
      <w:r w:rsidR="00AF3A01" w:rsidRPr="00E33B17">
        <w:t xml:space="preserve">children </w:t>
      </w:r>
      <w:r w:rsidRPr="00E33B17">
        <w:t xml:space="preserve">include the instruments outlined below.  These instruments are required to be completed once an individual has been screened and determined in need of assessment from the </w:t>
      </w:r>
      <w:r w:rsidR="00B235DF">
        <w:t>Grantee</w:t>
      </w:r>
      <w:r w:rsidRPr="00E33B17">
        <w:t xml:space="preserve">.  The initial assessment is the clinical process of obtaining and evaluating historical, social, functional, psychiatric, developmental or other information from the individual seeking services in order to determine specific treatment and support needs.  </w:t>
      </w:r>
      <w:r w:rsidR="00192C18" w:rsidRPr="00E33B17">
        <w:t>The person</w:t>
      </w:r>
      <w:r w:rsidRPr="00E33B17">
        <w:t xml:space="preserve"> admini</w:t>
      </w:r>
      <w:r w:rsidR="00C96E04" w:rsidRPr="00E33B17">
        <w:t>stering these instrument</w:t>
      </w:r>
      <w:r w:rsidR="00C72DF1">
        <w:t>s</w:t>
      </w:r>
      <w:r w:rsidR="00C96E04" w:rsidRPr="00E33B17">
        <w:t xml:space="preserve"> </w:t>
      </w:r>
      <w:r w:rsidRPr="00E33B17">
        <w:t xml:space="preserve">must be </w:t>
      </w:r>
      <w:r w:rsidR="00BE6A02" w:rsidRPr="00E33B17">
        <w:t xml:space="preserve">at a minimum </w:t>
      </w:r>
      <w:r w:rsidR="00192C18" w:rsidRPr="00E33B17">
        <w:t xml:space="preserve">a </w:t>
      </w:r>
      <w:r w:rsidRPr="00E33B17">
        <w:t>Quali</w:t>
      </w:r>
      <w:r w:rsidR="00192C18" w:rsidRPr="00E33B17">
        <w:t>fied Mental Health Professional – Community Services (QMHP</w:t>
      </w:r>
      <w:r w:rsidR="007D2683" w:rsidRPr="00E33B17">
        <w:t>–</w:t>
      </w:r>
      <w:r w:rsidR="00192C18" w:rsidRPr="00E33B17">
        <w:t>CS</w:t>
      </w:r>
      <w:r w:rsidRPr="00E33B17">
        <w:t>)</w:t>
      </w:r>
      <w:r w:rsidR="00C96E04" w:rsidRPr="00E33B17">
        <w:t>; additionally, the person administering the CANS must have documented current certification in the CANS</w:t>
      </w:r>
      <w:r w:rsidRPr="00E33B17">
        <w:t>. Staff must have documented training in the use of these instruments.</w:t>
      </w:r>
    </w:p>
    <w:p w14:paraId="45B77C73" w14:textId="77777777" w:rsidR="00A45E0F" w:rsidRPr="00E33B17" w:rsidRDefault="00133B1B">
      <w:pPr>
        <w:pStyle w:val="ListParagraph"/>
        <w:numPr>
          <w:ilvl w:val="2"/>
          <w:numId w:val="42"/>
        </w:numPr>
        <w:spacing w:before="120" w:after="120"/>
        <w:ind w:left="1440" w:hanging="720"/>
      </w:pPr>
      <w:r w:rsidRPr="00E33B17">
        <w:t>Child and Adolescent</w:t>
      </w:r>
      <w:r w:rsidR="00A45E0F" w:rsidRPr="00E33B17">
        <w:t xml:space="preserve"> Needs Strengths </w:t>
      </w:r>
      <w:r w:rsidRPr="00E33B17">
        <w:t>(CANS) Assessment</w:t>
      </w:r>
      <w:r w:rsidR="00A45E0F" w:rsidRPr="00E33B17">
        <w:t>;</w:t>
      </w:r>
      <w:r w:rsidR="00C96BB8" w:rsidRPr="00E33B17">
        <w:t xml:space="preserve"> and</w:t>
      </w:r>
    </w:p>
    <w:p w14:paraId="2B2E33E7" w14:textId="77777777" w:rsidR="00A45E0F" w:rsidRPr="00E33B17" w:rsidRDefault="00A45E0F">
      <w:pPr>
        <w:pStyle w:val="ListParagraph"/>
        <w:numPr>
          <w:ilvl w:val="2"/>
          <w:numId w:val="42"/>
        </w:numPr>
        <w:spacing w:before="120" w:after="120"/>
        <w:ind w:left="1440" w:hanging="720"/>
      </w:pPr>
      <w:r w:rsidRPr="00E33B17">
        <w:t>Community Data.</w:t>
      </w:r>
    </w:p>
    <w:p w14:paraId="2689DC84" w14:textId="77777777" w:rsidR="00A45E0F" w:rsidRPr="00E33B17" w:rsidRDefault="00A45E0F" w:rsidP="00C72DF1">
      <w:r w:rsidRPr="00E33B17">
        <w:t xml:space="preserve">Assessment Timeframes: The UA shall be administered </w:t>
      </w:r>
      <w:proofErr w:type="gramStart"/>
      <w:r w:rsidRPr="00E33B17">
        <w:t>according</w:t>
      </w:r>
      <w:proofErr w:type="gramEnd"/>
      <w:r w:rsidRPr="00E33B17">
        <w:t xml:space="preserve"> the following schedule:</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hild UA Assessment Table"/>
      </w:tblPr>
      <w:tblGrid>
        <w:gridCol w:w="4045"/>
        <w:gridCol w:w="5324"/>
      </w:tblGrid>
      <w:tr w:rsidR="00C96BB8" w:rsidRPr="00E33B17" w14:paraId="149198BA" w14:textId="77777777" w:rsidTr="00C72DF1">
        <w:trPr>
          <w:tblHeader/>
          <w:jc w:val="center"/>
        </w:trPr>
        <w:tc>
          <w:tcPr>
            <w:tcW w:w="4045" w:type="dxa"/>
            <w:shd w:val="clear" w:color="auto" w:fill="E7E6E6" w:themeFill="background2"/>
            <w:vAlign w:val="center"/>
          </w:tcPr>
          <w:p w14:paraId="11DD8541" w14:textId="77777777" w:rsidR="00C96BB8" w:rsidRPr="00C72DF1" w:rsidRDefault="00C96BB8" w:rsidP="00C72DF1">
            <w:pPr>
              <w:rPr>
                <w:b/>
                <w:bCs/>
              </w:rPr>
            </w:pPr>
            <w:r w:rsidRPr="004A7429">
              <w:rPr>
                <w:b/>
                <w:bCs/>
              </w:rPr>
              <w:lastRenderedPageBreak/>
              <w:t>SECTION</w:t>
            </w:r>
          </w:p>
        </w:tc>
        <w:tc>
          <w:tcPr>
            <w:tcW w:w="5324" w:type="dxa"/>
            <w:shd w:val="clear" w:color="auto" w:fill="E7E6E6" w:themeFill="background2"/>
            <w:vAlign w:val="center"/>
          </w:tcPr>
          <w:p w14:paraId="7A4DC528" w14:textId="77777777" w:rsidR="00C96BB8" w:rsidRPr="00C72DF1" w:rsidRDefault="00C96BB8" w:rsidP="00C72DF1">
            <w:pPr>
              <w:rPr>
                <w:b/>
                <w:bCs/>
              </w:rPr>
            </w:pPr>
            <w:r w:rsidRPr="004A7429">
              <w:rPr>
                <w:b/>
                <w:bCs/>
              </w:rPr>
              <w:t>FREQUENCY</w:t>
            </w:r>
          </w:p>
        </w:tc>
      </w:tr>
      <w:tr w:rsidR="00C96BB8" w:rsidRPr="00E33B17" w14:paraId="26839B44" w14:textId="77777777" w:rsidTr="008E2506">
        <w:trPr>
          <w:jc w:val="center"/>
        </w:trPr>
        <w:tc>
          <w:tcPr>
            <w:tcW w:w="4045" w:type="dxa"/>
          </w:tcPr>
          <w:p w14:paraId="309CE187" w14:textId="77777777" w:rsidR="00C96BB8" w:rsidRPr="00C72DF1" w:rsidRDefault="00C96BB8" w:rsidP="00C72DF1">
            <w:r w:rsidRPr="00C72DF1">
              <w:t>Child and Adolescent Needs and Strengths (CANS) Assessment</w:t>
            </w:r>
          </w:p>
        </w:tc>
        <w:tc>
          <w:tcPr>
            <w:tcW w:w="5324" w:type="dxa"/>
          </w:tcPr>
          <w:p w14:paraId="0D84B63D" w14:textId="77777777" w:rsidR="00C96BB8" w:rsidRPr="00E33B17" w:rsidRDefault="00C96BB8">
            <w:pPr>
              <w:pStyle w:val="ListParagraph"/>
              <w:numPr>
                <w:ilvl w:val="0"/>
                <w:numId w:val="39"/>
              </w:numPr>
              <w:ind w:left="331"/>
            </w:pPr>
            <w:r w:rsidRPr="00E33B17">
              <w:t>upon admission</w:t>
            </w:r>
          </w:p>
          <w:p w14:paraId="374FEC7F" w14:textId="7481DC82" w:rsidR="00C96BB8" w:rsidRPr="00E33B17" w:rsidRDefault="00C96BB8">
            <w:pPr>
              <w:pStyle w:val="ListParagraph"/>
              <w:numPr>
                <w:ilvl w:val="0"/>
                <w:numId w:val="39"/>
              </w:numPr>
              <w:ind w:left="331"/>
            </w:pPr>
            <w:r w:rsidRPr="00E33B17">
              <w:t>every 90 days (unless child is approved for 180</w:t>
            </w:r>
            <w:r w:rsidR="007D2683" w:rsidRPr="00E33B17">
              <w:t>–</w:t>
            </w:r>
            <w:r w:rsidRPr="00E33B17">
              <w:t>Day Extended Review authorization)</w:t>
            </w:r>
          </w:p>
          <w:p w14:paraId="10308FAB" w14:textId="77777777" w:rsidR="00C96BB8" w:rsidRPr="00E33B17" w:rsidRDefault="00C96BB8">
            <w:pPr>
              <w:pStyle w:val="ListParagraph"/>
              <w:numPr>
                <w:ilvl w:val="0"/>
                <w:numId w:val="39"/>
              </w:numPr>
              <w:ind w:left="331"/>
            </w:pPr>
            <w:r w:rsidRPr="00E33B17">
              <w:t>upon discharge</w:t>
            </w:r>
          </w:p>
          <w:p w14:paraId="32044A32" w14:textId="77777777" w:rsidR="00C96BB8" w:rsidRPr="00E33B17" w:rsidRDefault="00C96BB8">
            <w:pPr>
              <w:pStyle w:val="ListParagraph"/>
              <w:numPr>
                <w:ilvl w:val="0"/>
                <w:numId w:val="39"/>
              </w:numPr>
              <w:ind w:left="331"/>
            </w:pPr>
            <w:r w:rsidRPr="00E33B17">
              <w:t xml:space="preserve">following any crisis event </w:t>
            </w:r>
          </w:p>
          <w:p w14:paraId="699F270B" w14:textId="77777777" w:rsidR="00C96BB8" w:rsidRPr="00E33B17" w:rsidRDefault="00C96BB8">
            <w:pPr>
              <w:pStyle w:val="ListParagraph"/>
              <w:numPr>
                <w:ilvl w:val="0"/>
                <w:numId w:val="39"/>
              </w:numPr>
              <w:ind w:left="331"/>
            </w:pPr>
            <w:r w:rsidRPr="00E33B17">
              <w:t>following any hospitalization</w:t>
            </w:r>
          </w:p>
          <w:p w14:paraId="19A9CAC2" w14:textId="77777777" w:rsidR="00C96BB8" w:rsidRPr="00E33B17" w:rsidRDefault="00C96BB8">
            <w:pPr>
              <w:pStyle w:val="ListParagraph"/>
              <w:numPr>
                <w:ilvl w:val="0"/>
                <w:numId w:val="39"/>
              </w:numPr>
              <w:ind w:left="331"/>
            </w:pPr>
            <w:r w:rsidRPr="00E33B17">
              <w:t>180</w:t>
            </w:r>
            <w:r w:rsidR="007D2683" w:rsidRPr="00E33B17">
              <w:t>–</w:t>
            </w:r>
            <w:r w:rsidRPr="00E33B17">
              <w:t>Day Extended Review Authorization: for LOC</w:t>
            </w:r>
            <w:r w:rsidR="007D2683" w:rsidRPr="00E33B17">
              <w:t>–</w:t>
            </w:r>
            <w:r w:rsidRPr="00E33B17">
              <w:t>1 once a child has been assessed and authorized three consecutive times to LOC</w:t>
            </w:r>
            <w:r w:rsidR="007D2683" w:rsidRPr="00E33B17">
              <w:t>–</w:t>
            </w:r>
            <w:r w:rsidRPr="00E33B17">
              <w:t>1 when LOC</w:t>
            </w:r>
            <w:r w:rsidR="007D2683" w:rsidRPr="00E33B17">
              <w:t>–</w:t>
            </w:r>
            <w:r w:rsidRPr="00E33B17">
              <w:t>R and LOC</w:t>
            </w:r>
            <w:r w:rsidR="007D2683" w:rsidRPr="00E33B17">
              <w:t>–</w:t>
            </w:r>
            <w:r w:rsidRPr="00E33B17">
              <w:t>A = LOC</w:t>
            </w:r>
            <w:r w:rsidR="007D2683" w:rsidRPr="00E33B17">
              <w:t>–</w:t>
            </w:r>
            <w:r w:rsidRPr="00E33B17">
              <w:t xml:space="preserve">1,  a reassessment can be done every 180 days thereafter when: </w:t>
            </w:r>
          </w:p>
          <w:p w14:paraId="21D42E53" w14:textId="77777777" w:rsidR="00C96BB8" w:rsidRPr="00E33B17" w:rsidRDefault="00C96BB8">
            <w:pPr>
              <w:pStyle w:val="ListParagraph"/>
              <w:numPr>
                <w:ilvl w:val="0"/>
                <w:numId w:val="39"/>
              </w:numPr>
              <w:ind w:left="331"/>
            </w:pPr>
            <w:r w:rsidRPr="00E33B17">
              <w:t>both the LOC</w:t>
            </w:r>
            <w:r w:rsidR="007D2683" w:rsidRPr="00E33B17">
              <w:t>–</w:t>
            </w:r>
            <w:r w:rsidRPr="00E33B17">
              <w:t>R and LOC</w:t>
            </w:r>
            <w:r w:rsidR="007D2683" w:rsidRPr="00E33B17">
              <w:t>–</w:t>
            </w:r>
            <w:r w:rsidRPr="00E33B17">
              <w:t>A equal LOC</w:t>
            </w:r>
            <w:r w:rsidR="007D2683" w:rsidRPr="00E33B17">
              <w:t>–</w:t>
            </w:r>
            <w:r w:rsidRPr="00E33B17">
              <w:t>1 and;</w:t>
            </w:r>
          </w:p>
          <w:p w14:paraId="6401E251" w14:textId="77777777" w:rsidR="00C96BB8" w:rsidRPr="00E33B17" w:rsidRDefault="00C96BB8">
            <w:pPr>
              <w:pStyle w:val="ListParagraph"/>
              <w:numPr>
                <w:ilvl w:val="0"/>
                <w:numId w:val="39"/>
              </w:numPr>
              <w:ind w:left="331"/>
            </w:pPr>
            <w:r w:rsidRPr="00E33B17">
              <w:t>the preceding LOC</w:t>
            </w:r>
            <w:r w:rsidR="007D2683" w:rsidRPr="00E33B17">
              <w:t>–</w:t>
            </w:r>
            <w:r w:rsidRPr="00E33B17">
              <w:t>R and LOC</w:t>
            </w:r>
            <w:r w:rsidR="007D2683" w:rsidRPr="00E33B17">
              <w:t>–</w:t>
            </w:r>
            <w:r w:rsidRPr="00E33B17">
              <w:t>A equal LOC</w:t>
            </w:r>
            <w:r w:rsidR="007D2683" w:rsidRPr="00E33B17">
              <w:t>–</w:t>
            </w:r>
            <w:r w:rsidRPr="00E33B17">
              <w:t>1 and;</w:t>
            </w:r>
          </w:p>
          <w:p w14:paraId="37543829" w14:textId="77777777" w:rsidR="00C96BB8" w:rsidRPr="00E33B17" w:rsidRDefault="00C96BB8">
            <w:pPr>
              <w:pStyle w:val="ListParagraph"/>
              <w:numPr>
                <w:ilvl w:val="0"/>
                <w:numId w:val="39"/>
              </w:numPr>
              <w:ind w:left="331"/>
            </w:pPr>
            <w:r w:rsidRPr="00E33B17">
              <w:t>the Extended Review box has been checked and approved.</w:t>
            </w:r>
          </w:p>
          <w:p w14:paraId="34FB449A" w14:textId="77777777" w:rsidR="00C96BB8" w:rsidRPr="00E33B17" w:rsidRDefault="00C96BB8">
            <w:pPr>
              <w:pStyle w:val="ListParagraph"/>
              <w:numPr>
                <w:ilvl w:val="0"/>
                <w:numId w:val="39"/>
              </w:numPr>
              <w:ind w:left="331"/>
            </w:pPr>
            <w:r w:rsidRPr="00E33B17">
              <w:t>LOC</w:t>
            </w:r>
            <w:r w:rsidR="007D2683" w:rsidRPr="00E33B17">
              <w:t>–</w:t>
            </w:r>
            <w:r w:rsidR="00D1140D" w:rsidRPr="00E33B17">
              <w:t>D = LOC</w:t>
            </w:r>
            <w:r w:rsidR="007D2683" w:rsidRPr="00E33B17">
              <w:t>–</w:t>
            </w:r>
            <w:r w:rsidRPr="00E33B17">
              <w:t>1 must be reassessed every 90 days</w:t>
            </w:r>
            <w:r w:rsidR="00FD5A0F" w:rsidRPr="00E33B17">
              <w:t>.</w:t>
            </w:r>
          </w:p>
        </w:tc>
      </w:tr>
      <w:tr w:rsidR="00C96BB8" w:rsidRPr="00E33B17" w14:paraId="12E02AE3" w14:textId="77777777" w:rsidTr="008E2506">
        <w:trPr>
          <w:jc w:val="center"/>
        </w:trPr>
        <w:tc>
          <w:tcPr>
            <w:tcW w:w="4045" w:type="dxa"/>
          </w:tcPr>
          <w:p w14:paraId="21E858F2" w14:textId="77777777" w:rsidR="00C96BB8" w:rsidRPr="00C72DF1" w:rsidRDefault="00C96BB8" w:rsidP="00C72DF1">
            <w:r w:rsidRPr="00C72DF1">
              <w:t>Community Data</w:t>
            </w:r>
          </w:p>
        </w:tc>
        <w:tc>
          <w:tcPr>
            <w:tcW w:w="5324" w:type="dxa"/>
          </w:tcPr>
          <w:p w14:paraId="69A8FC33" w14:textId="77777777" w:rsidR="00C96BB8" w:rsidRPr="00E33B17" w:rsidRDefault="00C96BB8">
            <w:pPr>
              <w:pStyle w:val="ListParagraph"/>
              <w:numPr>
                <w:ilvl w:val="0"/>
                <w:numId w:val="39"/>
              </w:numPr>
              <w:ind w:left="331"/>
            </w:pPr>
            <w:r w:rsidRPr="00E33B17">
              <w:t xml:space="preserve">every time Section 1 is completed </w:t>
            </w:r>
          </w:p>
        </w:tc>
      </w:tr>
      <w:tr w:rsidR="00C96BB8" w:rsidRPr="00E33B17" w14:paraId="05A4036D" w14:textId="77777777" w:rsidTr="008E2506">
        <w:trPr>
          <w:jc w:val="center"/>
        </w:trPr>
        <w:tc>
          <w:tcPr>
            <w:tcW w:w="4045" w:type="dxa"/>
          </w:tcPr>
          <w:p w14:paraId="3CDA11B2" w14:textId="77777777" w:rsidR="00C96BB8" w:rsidRPr="00C72DF1" w:rsidRDefault="00C96BB8" w:rsidP="00C72DF1">
            <w:r w:rsidRPr="00C72DF1">
              <w:t>Authorizations</w:t>
            </w:r>
          </w:p>
        </w:tc>
        <w:tc>
          <w:tcPr>
            <w:tcW w:w="5324" w:type="dxa"/>
          </w:tcPr>
          <w:p w14:paraId="14E59B3B" w14:textId="77777777" w:rsidR="00C96BB8" w:rsidRPr="00E33B17" w:rsidRDefault="00C96BB8">
            <w:pPr>
              <w:pStyle w:val="ListParagraph"/>
              <w:numPr>
                <w:ilvl w:val="0"/>
                <w:numId w:val="39"/>
              </w:numPr>
              <w:ind w:left="331"/>
            </w:pPr>
            <w:r w:rsidRPr="00E33B17">
              <w:t>every 90 days (except as noted below)</w:t>
            </w:r>
          </w:p>
          <w:p w14:paraId="4780D770" w14:textId="77777777" w:rsidR="00C96BB8" w:rsidRPr="00E33B17" w:rsidRDefault="00C96BB8">
            <w:pPr>
              <w:pStyle w:val="ListParagraph"/>
              <w:numPr>
                <w:ilvl w:val="0"/>
                <w:numId w:val="39"/>
              </w:numPr>
              <w:ind w:left="331"/>
            </w:pPr>
            <w:r w:rsidRPr="00E33B17">
              <w:t>For LOC</w:t>
            </w:r>
            <w:r w:rsidR="007D2683" w:rsidRPr="00E33B17">
              <w:t>–</w:t>
            </w:r>
            <w:r w:rsidRPr="00E33B17">
              <w:t>1 may be done every 180 days when 180</w:t>
            </w:r>
            <w:r w:rsidR="007D2683" w:rsidRPr="00E33B17">
              <w:t>–</w:t>
            </w:r>
            <w:r w:rsidRPr="00E33B17">
              <w:t>Day Extended Review Authorization has been approved. (See above Section 1: Child and Adolescent Needs and Strengths (CANS) Assessment)</w:t>
            </w:r>
          </w:p>
          <w:p w14:paraId="34D5B596" w14:textId="77777777" w:rsidR="00C96BB8" w:rsidRPr="00E33B17" w:rsidRDefault="00C96BB8">
            <w:pPr>
              <w:pStyle w:val="ListParagraph"/>
              <w:numPr>
                <w:ilvl w:val="0"/>
                <w:numId w:val="39"/>
              </w:numPr>
              <w:ind w:left="331"/>
            </w:pPr>
            <w:r w:rsidRPr="00E33B17">
              <w:t>LOC</w:t>
            </w:r>
            <w:r w:rsidR="007D2683" w:rsidRPr="00E33B17">
              <w:t>–</w:t>
            </w:r>
            <w:r w:rsidR="002F2A59" w:rsidRPr="00E33B17">
              <w:t>D = LOC</w:t>
            </w:r>
            <w:r w:rsidR="007D2683" w:rsidRPr="00E33B17">
              <w:t>–</w:t>
            </w:r>
            <w:r w:rsidR="002F2A59" w:rsidRPr="00E33B17">
              <w:t>1 cannot</w:t>
            </w:r>
            <w:r w:rsidRPr="00E33B17">
              <w:t xml:space="preserve"> be authorized into a 180</w:t>
            </w:r>
            <w:r w:rsidR="007D2683" w:rsidRPr="00E33B17">
              <w:t>–</w:t>
            </w:r>
            <w:r w:rsidRPr="00E33B17">
              <w:t>Day Extended Review authorization. CANS must be reassessed every 90 days for LOC</w:t>
            </w:r>
            <w:r w:rsidR="007D2683" w:rsidRPr="00E33B17">
              <w:t>–</w:t>
            </w:r>
            <w:r w:rsidRPr="00E33B17">
              <w:t>D = LOC</w:t>
            </w:r>
            <w:r w:rsidR="007D2683" w:rsidRPr="00E33B17">
              <w:t>–</w:t>
            </w:r>
            <w:r w:rsidRPr="00E33B17">
              <w:t>1.</w:t>
            </w:r>
          </w:p>
        </w:tc>
      </w:tr>
      <w:tr w:rsidR="00C96BB8" w:rsidRPr="00E33B17" w14:paraId="1FDC2DCE" w14:textId="77777777" w:rsidTr="008E2506">
        <w:trPr>
          <w:jc w:val="center"/>
        </w:trPr>
        <w:tc>
          <w:tcPr>
            <w:tcW w:w="4045" w:type="dxa"/>
          </w:tcPr>
          <w:p w14:paraId="00242E77" w14:textId="77777777" w:rsidR="00C96BB8" w:rsidRPr="00C72DF1" w:rsidRDefault="00C96BB8" w:rsidP="00C72DF1">
            <w:r w:rsidRPr="00C72DF1">
              <w:lastRenderedPageBreak/>
              <w:t>Residential Treatment Center Placement (excluding Waco Center for Youth)</w:t>
            </w:r>
          </w:p>
        </w:tc>
        <w:tc>
          <w:tcPr>
            <w:tcW w:w="5324" w:type="dxa"/>
          </w:tcPr>
          <w:p w14:paraId="071731BF" w14:textId="34F56AA7" w:rsidR="00C96BB8" w:rsidRPr="00E33B17" w:rsidRDefault="00C96BB8">
            <w:pPr>
              <w:pStyle w:val="ListParagraph"/>
              <w:numPr>
                <w:ilvl w:val="0"/>
                <w:numId w:val="39"/>
              </w:numPr>
              <w:ind w:left="331"/>
            </w:pPr>
            <w:r w:rsidRPr="00E33B17">
              <w:t>if a child is placed in a</w:t>
            </w:r>
            <w:r w:rsidR="00B235DF">
              <w:t>n</w:t>
            </w:r>
            <w:r w:rsidRPr="00E33B17">
              <w:t xml:space="preserve"> </w:t>
            </w:r>
            <w:r w:rsidR="00B235DF">
              <w:t>HHSC</w:t>
            </w:r>
            <w:r w:rsidR="00495864" w:rsidRPr="00E33B17">
              <w:t xml:space="preserve"> </w:t>
            </w:r>
            <w:r w:rsidRPr="00E33B17">
              <w:t>funded residential treatment center (RTC) bed outside of the LMHA</w:t>
            </w:r>
            <w:r w:rsidR="00495864" w:rsidRPr="00E33B17">
              <w:t>/LBHA</w:t>
            </w:r>
            <w:r w:rsidRPr="00E33B17">
              <w:t xml:space="preserve"> service area, ongoing diagnostic assessments may be provided by phone, utilizing data collected from the child, child’s LAR, and child’s RTC therapist</w:t>
            </w:r>
            <w:r w:rsidR="00504EBF" w:rsidRPr="00E33B17">
              <w:t>.</w:t>
            </w:r>
          </w:p>
        </w:tc>
      </w:tr>
    </w:tbl>
    <w:p w14:paraId="5CD5E947" w14:textId="77777777" w:rsidR="00A45E0F" w:rsidRPr="00E33B17" w:rsidRDefault="00A45E0F" w:rsidP="00E33B17"/>
    <w:p w14:paraId="617FF04D" w14:textId="6ECA8147" w:rsidR="00C72DF1" w:rsidRDefault="00A45E0F" w:rsidP="00E33B17">
      <w:r w:rsidRPr="00E33B17">
        <w:t xml:space="preserve">Assessments in CARE/CMBHS: Data must be submitted through WebCARE/ CMBHS or through an approved batch to the CARE/CMBHS system according to the schedule and formats established by </w:t>
      </w:r>
      <w:r w:rsidR="00B235DF">
        <w:t>HHSC</w:t>
      </w:r>
      <w:r w:rsidRPr="00E33B17">
        <w:t>.</w:t>
      </w:r>
    </w:p>
    <w:p w14:paraId="6CE86BBB" w14:textId="6626BE31" w:rsidR="00C72DF1" w:rsidRDefault="00C72DF1" w:rsidP="00E33B17"/>
    <w:p w14:paraId="5F464B6B" w14:textId="77777777" w:rsidR="00C72DF1" w:rsidRDefault="00C72DF1" w:rsidP="00C72DF1">
      <w:pPr>
        <w:jc w:val="center"/>
        <w:rPr>
          <w:i/>
          <w:iCs/>
        </w:rPr>
      </w:pPr>
    </w:p>
    <w:p w14:paraId="63C8FE46" w14:textId="77777777" w:rsidR="00C72DF1" w:rsidRDefault="00C72DF1" w:rsidP="00C72DF1">
      <w:pPr>
        <w:jc w:val="center"/>
        <w:rPr>
          <w:i/>
          <w:iCs/>
        </w:rPr>
      </w:pPr>
    </w:p>
    <w:p w14:paraId="19FEC25A" w14:textId="40AA63F1" w:rsidR="001465BE" w:rsidRPr="00C72DF1" w:rsidRDefault="00C72DF1" w:rsidP="00B235DF">
      <w:pPr>
        <w:jc w:val="center"/>
      </w:pPr>
      <w:r>
        <w:rPr>
          <w:i/>
          <w:iCs/>
        </w:rPr>
        <w:t>Remainder of Page Intentionally Left Blank</w:t>
      </w:r>
      <w:r w:rsidR="001465BE" w:rsidRPr="00E33B17">
        <w:br w:type="page"/>
      </w:r>
    </w:p>
    <w:p w14:paraId="5D72B1F6" w14:textId="5903AC02" w:rsidR="00A45E0F" w:rsidRDefault="00A2198A">
      <w:pPr>
        <w:pStyle w:val="Heading1"/>
      </w:pPr>
      <w:bookmarkStart w:id="212" w:name="_Toc134117649"/>
      <w:r w:rsidRPr="004A7429">
        <w:lastRenderedPageBreak/>
        <w:t>Glossary of Terms</w:t>
      </w:r>
      <w:bookmarkEnd w:id="212"/>
    </w:p>
    <w:p w14:paraId="7CEAACC1" w14:textId="77777777" w:rsidR="004A7429" w:rsidRPr="00C72DF1" w:rsidRDefault="004A7429" w:rsidP="00C72DF1">
      <w:pPr>
        <w:spacing w:before="240" w:after="240"/>
        <w:rPr>
          <w:b/>
          <w:bCs/>
          <w:sz w:val="28"/>
          <w:szCs w:val="28"/>
        </w:rPr>
      </w:pPr>
    </w:p>
    <w:p w14:paraId="14221E36" w14:textId="77777777" w:rsidR="008B4FF8" w:rsidRPr="00E33B17" w:rsidRDefault="008B4FF8">
      <w:pPr>
        <w:pStyle w:val="ListParagraph"/>
        <w:numPr>
          <w:ilvl w:val="2"/>
          <w:numId w:val="41"/>
        </w:numPr>
        <w:spacing w:before="120" w:after="120"/>
        <w:ind w:left="1440" w:hanging="720"/>
      </w:pPr>
      <w:r w:rsidRPr="00E33B17">
        <w:t>ANSA: Adult Needs and Strengths Assessment</w:t>
      </w:r>
    </w:p>
    <w:p w14:paraId="7BEDAA0C" w14:textId="77777777" w:rsidR="008B4FF8" w:rsidRPr="00E33B17" w:rsidRDefault="008B4FF8">
      <w:pPr>
        <w:pStyle w:val="ListParagraph"/>
        <w:numPr>
          <w:ilvl w:val="2"/>
          <w:numId w:val="41"/>
        </w:numPr>
        <w:spacing w:before="120" w:after="120"/>
        <w:ind w:left="1440" w:hanging="720"/>
      </w:pPr>
      <w:r w:rsidRPr="00E33B17">
        <w:t>Assessment Service: Includes psychiatric diagnostic interview examination, pre</w:t>
      </w:r>
      <w:r w:rsidR="007D2683" w:rsidRPr="00E33B17">
        <w:t>–</w:t>
      </w:r>
      <w:r w:rsidRPr="00E33B17">
        <w:t>admission QMHP</w:t>
      </w:r>
      <w:r w:rsidR="007D2683" w:rsidRPr="00E33B17">
        <w:t>–</w:t>
      </w:r>
      <w:r w:rsidRPr="00E33B17">
        <w:t>CS assessment, and psychological or neuropsychological testing.</w:t>
      </w:r>
    </w:p>
    <w:p w14:paraId="67A1838C" w14:textId="77777777" w:rsidR="008B4FF8" w:rsidRPr="00E33B17" w:rsidRDefault="008B4FF8">
      <w:pPr>
        <w:pStyle w:val="ListParagraph"/>
        <w:numPr>
          <w:ilvl w:val="2"/>
          <w:numId w:val="41"/>
        </w:numPr>
        <w:spacing w:before="120" w:after="120"/>
        <w:ind w:left="1440" w:hanging="720"/>
      </w:pPr>
      <w:r w:rsidRPr="00E33B17">
        <w:t>CANS: Child and Adolescent Needs and Strengths assessment</w:t>
      </w:r>
    </w:p>
    <w:p w14:paraId="3A406EFF" w14:textId="77777777" w:rsidR="008B4FF8" w:rsidRPr="00E33B17" w:rsidRDefault="008B4FF8">
      <w:pPr>
        <w:pStyle w:val="ListParagraph"/>
        <w:numPr>
          <w:ilvl w:val="2"/>
          <w:numId w:val="41"/>
        </w:numPr>
        <w:spacing w:before="120" w:after="120"/>
        <w:ind w:left="1440" w:hanging="720"/>
      </w:pPr>
      <w:r w:rsidRPr="00E33B17">
        <w:t xml:space="preserve">CARE: Client Assignment and Registration System </w:t>
      </w:r>
    </w:p>
    <w:p w14:paraId="54EEFE02" w14:textId="1A00C033" w:rsidR="008B4FF8" w:rsidRPr="00E33B17" w:rsidRDefault="008B4FF8">
      <w:pPr>
        <w:pStyle w:val="ListParagraph"/>
        <w:numPr>
          <w:ilvl w:val="2"/>
          <w:numId w:val="41"/>
        </w:numPr>
        <w:spacing w:before="120" w:after="120"/>
        <w:ind w:left="1440" w:hanging="720"/>
      </w:pPr>
      <w:r w:rsidRPr="00E33B17">
        <w:t>Client Month: Refers to a count of clients and months for the measured reporting period. For example, a client with activity in 3 months of a measured period counts as 3, those with activity only in 1 month counts as 1.</w:t>
      </w:r>
      <w:r w:rsidR="00D33674">
        <w:t xml:space="preserve">  If a client is </w:t>
      </w:r>
      <w:r w:rsidR="00D33674" w:rsidRPr="00E33B17">
        <w:t>authorized and being served in the community</w:t>
      </w:r>
      <w:r w:rsidR="00D33674">
        <w:t xml:space="preserve"> for any day of the month, the client and month count. </w:t>
      </w:r>
      <w:r w:rsidR="00D33674">
        <w:rPr>
          <w:i/>
          <w:iCs/>
        </w:rPr>
        <w:t>See also definitions for Partially Authorized Month and Full Client Month.</w:t>
      </w:r>
    </w:p>
    <w:p w14:paraId="6F93769A" w14:textId="77777777" w:rsidR="008B4FF8" w:rsidRPr="00E33B17" w:rsidRDefault="008B4FF8">
      <w:pPr>
        <w:pStyle w:val="ListParagraph"/>
        <w:numPr>
          <w:ilvl w:val="2"/>
          <w:numId w:val="41"/>
        </w:numPr>
        <w:spacing w:before="120" w:after="120"/>
        <w:ind w:left="1440" w:hanging="720"/>
      </w:pPr>
      <w:r w:rsidRPr="00E33B17">
        <w:t>Clinical and Support Services: Services that provide support and foster recovery</w:t>
      </w:r>
      <w:r w:rsidR="00DA6A7E" w:rsidRPr="00E33B17">
        <w:t>, including</w:t>
      </w:r>
      <w:r w:rsidRPr="00E33B17">
        <w:t xml:space="preserve"> all approved TRR services delivered face to face or via </w:t>
      </w:r>
      <w:r w:rsidR="00E77CA3" w:rsidRPr="00E33B17">
        <w:t>televideo</w:t>
      </w:r>
      <w:r w:rsidRPr="00E33B17">
        <w:t xml:space="preserve"> as listed in the LOCs in the U</w:t>
      </w:r>
      <w:r w:rsidR="00E31949" w:rsidRPr="00E33B17">
        <w:t>tilization Management</w:t>
      </w:r>
      <w:r w:rsidRPr="00E33B17">
        <w:t xml:space="preserve"> Guidelines. The service categories include the following: Pre</w:t>
      </w:r>
      <w:r w:rsidR="007D2683" w:rsidRPr="00E33B17">
        <w:t>–</w:t>
      </w:r>
      <w:r w:rsidRPr="00E33B17">
        <w:t>Admission Assessment, Psychiatric Diagnostic Interview, Routine Case Management, Psychosocial Rehabilitation Services, Engagement Activity, Consumer Peer Support, Pharmacological Management, Med Training and Supports, Individual/Family Counseling, Group Counseling, Supported Employment, Skills Training and Development, and Supportive Housing Services and Supports.</w:t>
      </w:r>
    </w:p>
    <w:p w14:paraId="0739F706" w14:textId="77777777" w:rsidR="008B4FF8" w:rsidRPr="00E33B17" w:rsidRDefault="008B4FF8">
      <w:pPr>
        <w:pStyle w:val="ListParagraph"/>
        <w:numPr>
          <w:ilvl w:val="2"/>
          <w:numId w:val="41"/>
        </w:numPr>
        <w:spacing w:before="120" w:after="120"/>
        <w:ind w:left="1440" w:hanging="720"/>
      </w:pPr>
      <w:r w:rsidRPr="00E33B17">
        <w:t xml:space="preserve">CMBHS: Clinical Management for Behavioral Health Services </w:t>
      </w:r>
    </w:p>
    <w:p w14:paraId="55C64512" w14:textId="31A7CEDA" w:rsidR="00846709" w:rsidRPr="00E33B17" w:rsidRDefault="00846709">
      <w:pPr>
        <w:pStyle w:val="ListParagraph"/>
        <w:numPr>
          <w:ilvl w:val="2"/>
          <w:numId w:val="41"/>
        </w:numPr>
        <w:spacing w:before="120" w:after="120"/>
        <w:ind w:left="1440" w:hanging="720"/>
      </w:pPr>
      <w:r w:rsidRPr="00E33B17">
        <w:t>CMHH</w:t>
      </w:r>
      <w:r w:rsidR="0068270A">
        <w:t xml:space="preserve">: </w:t>
      </w:r>
      <w:r w:rsidRPr="00E33B17">
        <w:t xml:space="preserve">A Community Mental Health Hospital (CMHH) funded through a CMHH contract with </w:t>
      </w:r>
      <w:r w:rsidR="00B235DF">
        <w:t>HHSC</w:t>
      </w:r>
      <w:r w:rsidRPr="00E33B17">
        <w:t>.</w:t>
      </w:r>
    </w:p>
    <w:p w14:paraId="32549D9B" w14:textId="77777777" w:rsidR="008B4FF8" w:rsidRPr="00E33B17" w:rsidRDefault="008B4FF8">
      <w:pPr>
        <w:pStyle w:val="ListParagraph"/>
        <w:numPr>
          <w:ilvl w:val="2"/>
          <w:numId w:val="41"/>
        </w:numPr>
        <w:spacing w:before="120" w:after="120"/>
        <w:ind w:left="1440" w:hanging="720"/>
      </w:pPr>
      <w:r w:rsidRPr="00E33B17">
        <w:t>Continuity of Care Match: Consumers who have any of these activities within the last 3 fiscal years:</w:t>
      </w:r>
    </w:p>
    <w:p w14:paraId="732F0385" w14:textId="77777777" w:rsidR="008B4FF8" w:rsidRPr="00E33B17" w:rsidRDefault="008B4FF8">
      <w:pPr>
        <w:pStyle w:val="ListParagraph"/>
        <w:numPr>
          <w:ilvl w:val="3"/>
          <w:numId w:val="41"/>
        </w:numPr>
        <w:spacing w:before="120" w:after="120"/>
        <w:ind w:left="2160"/>
      </w:pPr>
      <w:r w:rsidRPr="00E33B17">
        <w:t xml:space="preserve">An open authorization to a FLOC, level of care 5, 8 or YES; </w:t>
      </w:r>
    </w:p>
    <w:p w14:paraId="6DA6F8B4" w14:textId="3D244065" w:rsidR="008B4FF8" w:rsidRPr="00E33B17" w:rsidRDefault="008B4FF8">
      <w:pPr>
        <w:pStyle w:val="ListParagraph"/>
        <w:numPr>
          <w:ilvl w:val="3"/>
          <w:numId w:val="41"/>
        </w:numPr>
        <w:spacing w:before="120" w:after="120"/>
        <w:ind w:left="2160"/>
      </w:pPr>
      <w:r w:rsidRPr="00E33B17">
        <w:t xml:space="preserve">An MH service encounter other than those services with procedure codes H0030 (crisis </w:t>
      </w:r>
      <w:r w:rsidR="0078213E">
        <w:t>hotline</w:t>
      </w:r>
      <w:r w:rsidRPr="00E33B17">
        <w:t>), H0002 (screening) or GJ modifiers (false alarm);</w:t>
      </w:r>
    </w:p>
    <w:p w14:paraId="39A0071B" w14:textId="77777777" w:rsidR="008B4FF8" w:rsidRPr="00E33B17" w:rsidRDefault="008B4FF8">
      <w:pPr>
        <w:pStyle w:val="ListParagraph"/>
        <w:numPr>
          <w:ilvl w:val="3"/>
          <w:numId w:val="41"/>
        </w:numPr>
        <w:spacing w:before="120" w:after="120"/>
        <w:ind w:left="2160"/>
      </w:pPr>
      <w:r w:rsidRPr="00E33B17">
        <w:t>A hospital discharge; or</w:t>
      </w:r>
    </w:p>
    <w:p w14:paraId="4B3D5812" w14:textId="77777777" w:rsidR="008B4FF8" w:rsidRPr="00E33B17" w:rsidRDefault="008B4FF8">
      <w:pPr>
        <w:pStyle w:val="ListParagraph"/>
        <w:numPr>
          <w:ilvl w:val="3"/>
          <w:numId w:val="41"/>
        </w:numPr>
        <w:spacing w:before="120" w:after="120"/>
        <w:ind w:left="2160"/>
      </w:pPr>
      <w:r w:rsidRPr="00E33B17">
        <w:t>A new generation medication assignment.</w:t>
      </w:r>
    </w:p>
    <w:p w14:paraId="0B688C66" w14:textId="77777777" w:rsidR="008B4FF8" w:rsidRPr="00E33B17" w:rsidRDefault="008B4FF8">
      <w:pPr>
        <w:pStyle w:val="ListParagraph"/>
        <w:numPr>
          <w:ilvl w:val="2"/>
          <w:numId w:val="41"/>
        </w:numPr>
        <w:spacing w:before="120" w:after="120"/>
        <w:ind w:left="1440" w:hanging="720"/>
      </w:pPr>
      <w:r w:rsidRPr="00E33B17">
        <w:t>Crisis Client Month: A client who has any time reported as crisis in a calendar month.</w:t>
      </w:r>
    </w:p>
    <w:p w14:paraId="44DEE113" w14:textId="77777777" w:rsidR="008B4FF8" w:rsidRPr="00E33B17" w:rsidRDefault="008B4FF8">
      <w:pPr>
        <w:pStyle w:val="ListParagraph"/>
        <w:numPr>
          <w:ilvl w:val="2"/>
          <w:numId w:val="41"/>
        </w:numPr>
        <w:spacing w:before="120" w:after="120"/>
        <w:ind w:left="1440" w:hanging="720"/>
      </w:pPr>
      <w:r w:rsidRPr="00E33B17">
        <w:lastRenderedPageBreak/>
        <w:t>Crisis Episode: A crisis episode begins when a crisis service is provided to an individual where there are no other crisis services provided to that individual within the previous seven days.</w:t>
      </w:r>
    </w:p>
    <w:p w14:paraId="356D5C56" w14:textId="77777777" w:rsidR="008B4FF8" w:rsidRPr="00E33B17" w:rsidRDefault="008B4FF8">
      <w:pPr>
        <w:pStyle w:val="ListParagraph"/>
        <w:numPr>
          <w:ilvl w:val="2"/>
          <w:numId w:val="41"/>
        </w:numPr>
        <w:spacing w:before="120" w:after="120"/>
        <w:ind w:left="1440" w:hanging="720"/>
      </w:pPr>
      <w:r w:rsidRPr="00E33B17">
        <w:t>Crisis Service: A crisis service includes both inpatient and outpatient service procedure codes that either contain an ET modifier (</w:t>
      </w:r>
      <w:r w:rsidR="00710554" w:rsidRPr="00E33B17">
        <w:t>i.e</w:t>
      </w:r>
      <w:r w:rsidRPr="00E33B17">
        <w:t>., psychosocial rehabilitative services in response to a crisis = H2017ET), or are uniquely defined as a crisis service (</w:t>
      </w:r>
      <w:r w:rsidR="00710554" w:rsidRPr="00E33B17">
        <w:t>i</w:t>
      </w:r>
      <w:r w:rsidR="00F00BE0" w:rsidRPr="00E33B17">
        <w:t>.e</w:t>
      </w:r>
      <w:r w:rsidRPr="00E33B17">
        <w:t>., crisis residential = H0018).</w:t>
      </w:r>
    </w:p>
    <w:p w14:paraId="3F7C1F31" w14:textId="77777777" w:rsidR="008B4FF8" w:rsidRPr="00E33B17" w:rsidRDefault="008B4FF8">
      <w:pPr>
        <w:pStyle w:val="ListParagraph"/>
        <w:numPr>
          <w:ilvl w:val="2"/>
          <w:numId w:val="41"/>
        </w:numPr>
        <w:spacing w:before="120" w:after="120"/>
        <w:ind w:left="1440" w:hanging="720"/>
      </w:pPr>
      <w:r w:rsidRPr="00E33B17">
        <w:t xml:space="preserve">Family Partner support services include the following: Engagement (H0025HATS), Family Partner (H0038HA), and Parent Support Group (H0025HAHQ) procedure codes, or other services identified by SERVER_TYPE_CD = K. </w:t>
      </w:r>
    </w:p>
    <w:p w14:paraId="17C56D60" w14:textId="7C42DD70" w:rsidR="008B4FF8" w:rsidRPr="00E33B17" w:rsidRDefault="008B4FF8">
      <w:pPr>
        <w:pStyle w:val="ListParagraph"/>
        <w:numPr>
          <w:ilvl w:val="2"/>
          <w:numId w:val="41"/>
        </w:numPr>
        <w:spacing w:before="120" w:after="120"/>
        <w:ind w:left="1440" w:hanging="720"/>
      </w:pPr>
      <w:r w:rsidRPr="00E33B17">
        <w:t>Full Client Month: A calendar month in which a client receives services within the same LOC from the first through the last day of the same month.</w:t>
      </w:r>
      <w:r w:rsidR="00D33674">
        <w:t xml:space="preserve"> </w:t>
      </w:r>
      <w:r w:rsidR="00D33674">
        <w:rPr>
          <w:i/>
          <w:iCs/>
        </w:rPr>
        <w:t>See also definitions for Client Month and Partially Authorized Month.</w:t>
      </w:r>
    </w:p>
    <w:p w14:paraId="0C01B5CC" w14:textId="77777777" w:rsidR="008B4FF8" w:rsidRPr="00E33B17" w:rsidRDefault="008B4FF8">
      <w:pPr>
        <w:pStyle w:val="ListParagraph"/>
        <w:numPr>
          <w:ilvl w:val="2"/>
          <w:numId w:val="41"/>
        </w:numPr>
        <w:spacing w:before="120" w:after="120"/>
        <w:ind w:left="1440" w:hanging="720"/>
      </w:pPr>
      <w:r w:rsidRPr="00E33B17">
        <w:t>Full Level of Care (FLOC): Refers to Texas Resilience and Recovery (TRR) levels of care that are intended for ongoing service delivery, specifically adult levels of care A1M, A1S, A2, A3, A4</w:t>
      </w:r>
      <w:r w:rsidR="00D256E9" w:rsidRPr="00E33B17">
        <w:t>, and ATAY</w:t>
      </w:r>
      <w:r w:rsidRPr="00E33B17">
        <w:t xml:space="preserve"> and children and youth levels of care C1, C2, C3, C4, Young Child (YC)</w:t>
      </w:r>
      <w:r w:rsidR="00D256E9" w:rsidRPr="00E33B17">
        <w:t>, and CTAY</w:t>
      </w:r>
      <w:r w:rsidRPr="00E33B17">
        <w:t>.</w:t>
      </w:r>
    </w:p>
    <w:p w14:paraId="38A8163F" w14:textId="77777777" w:rsidR="008B4FF8" w:rsidRPr="00E33B17" w:rsidRDefault="008B4FF8">
      <w:pPr>
        <w:pStyle w:val="ListParagraph"/>
        <w:numPr>
          <w:ilvl w:val="2"/>
          <w:numId w:val="41"/>
        </w:numPr>
        <w:spacing w:before="120" w:after="120"/>
        <w:ind w:left="1440" w:hanging="720"/>
      </w:pPr>
      <w:r w:rsidRPr="00E33B17">
        <w:t>Improvement: Significant change over time, with a Reliable Change Index (RCI) score exceeding the benchmark value of ±1.645.</w:t>
      </w:r>
    </w:p>
    <w:p w14:paraId="236A3F23" w14:textId="77777777" w:rsidR="008B4FF8" w:rsidRPr="00E33B17" w:rsidRDefault="008B4FF8">
      <w:pPr>
        <w:pStyle w:val="ListParagraph"/>
        <w:numPr>
          <w:ilvl w:val="2"/>
          <w:numId w:val="41"/>
        </w:numPr>
        <w:spacing w:before="120" w:after="120"/>
        <w:ind w:left="1440" w:hanging="720"/>
      </w:pPr>
      <w:r w:rsidRPr="00E33B17">
        <w:t xml:space="preserve">Level of Care (LOC): Refers to Texas Resilience and Recovery (TRR) levels of care for any service. </w:t>
      </w:r>
    </w:p>
    <w:p w14:paraId="3E04E9CC" w14:textId="0DB7496E" w:rsidR="00AB4D0F" w:rsidRPr="00E33B17" w:rsidRDefault="00AB4D0F">
      <w:pPr>
        <w:pStyle w:val="ListParagraph"/>
        <w:numPr>
          <w:ilvl w:val="2"/>
          <w:numId w:val="41"/>
        </w:numPr>
        <w:spacing w:before="120" w:after="120"/>
        <w:ind w:left="1440" w:hanging="720"/>
      </w:pPr>
      <w:r w:rsidRPr="00E33B17">
        <w:t>LOC</w:t>
      </w:r>
      <w:r w:rsidR="007D2683" w:rsidRPr="00E33B17">
        <w:t>–</w:t>
      </w:r>
      <w:r w:rsidRPr="00E33B17">
        <w:t>A: The authorized level of care.</w:t>
      </w:r>
    </w:p>
    <w:p w14:paraId="5D8A06E8" w14:textId="77777777" w:rsidR="008B4FF8" w:rsidRPr="00E33B17" w:rsidRDefault="008B4FF8">
      <w:pPr>
        <w:pStyle w:val="ListParagraph"/>
        <w:numPr>
          <w:ilvl w:val="2"/>
          <w:numId w:val="41"/>
        </w:numPr>
        <w:spacing w:before="120" w:after="120"/>
        <w:ind w:left="1440" w:hanging="720"/>
      </w:pPr>
      <w:r w:rsidRPr="00E33B17">
        <w:t>LOC</w:t>
      </w:r>
      <w:r w:rsidR="007D2683" w:rsidRPr="00E33B17">
        <w:t>–</w:t>
      </w:r>
      <w:r w:rsidRPr="00E33B17">
        <w:t>D (deviation): The purpose of the LOC</w:t>
      </w:r>
      <w:r w:rsidR="007D2683" w:rsidRPr="00E33B17">
        <w:t>–</w:t>
      </w:r>
      <w:r w:rsidRPr="00E33B17">
        <w:t>D is to allow the clinician the option to request a deviation from the LOC</w:t>
      </w:r>
      <w:r w:rsidR="007D2683" w:rsidRPr="00E33B17">
        <w:t>–</w:t>
      </w:r>
      <w:r w:rsidRPr="00E33B17">
        <w:t>R (recommended) as calculated by the CANS/ANSA Uniform Assessment. The parameters for the use of the LOC</w:t>
      </w:r>
      <w:r w:rsidR="007D2683" w:rsidRPr="00E33B17">
        <w:t>–</w:t>
      </w:r>
      <w:r w:rsidRPr="00E33B17">
        <w:t>D are as follows:</w:t>
      </w:r>
    </w:p>
    <w:p w14:paraId="1337DD48" w14:textId="77777777" w:rsidR="008B4FF8" w:rsidRPr="00E33B17" w:rsidRDefault="008B4FF8">
      <w:pPr>
        <w:pStyle w:val="ListParagraph"/>
        <w:numPr>
          <w:ilvl w:val="3"/>
          <w:numId w:val="41"/>
        </w:numPr>
        <w:spacing w:before="120" w:after="120"/>
        <w:ind w:left="2160"/>
      </w:pPr>
      <w:r w:rsidRPr="00E33B17">
        <w:t>The LOC</w:t>
      </w:r>
      <w:r w:rsidR="007D2683" w:rsidRPr="00E33B17">
        <w:t>–</w:t>
      </w:r>
      <w:r w:rsidRPr="00E33B17">
        <w:t>D shall be completed by the clinician, but is only necessary if the LOC</w:t>
      </w:r>
      <w:r w:rsidR="007D2683" w:rsidRPr="00E33B17">
        <w:t>–</w:t>
      </w:r>
      <w:r w:rsidRPr="00E33B17">
        <w:t>D is different from the LOC</w:t>
      </w:r>
      <w:r w:rsidR="007D2683" w:rsidRPr="00E33B17">
        <w:t>–</w:t>
      </w:r>
      <w:r w:rsidRPr="00E33B17">
        <w:t>R.</w:t>
      </w:r>
    </w:p>
    <w:p w14:paraId="6130D551" w14:textId="77777777" w:rsidR="008B4FF8" w:rsidRPr="00E33B17" w:rsidRDefault="008B4FF8">
      <w:pPr>
        <w:pStyle w:val="ListParagraph"/>
        <w:numPr>
          <w:ilvl w:val="3"/>
          <w:numId w:val="41"/>
        </w:numPr>
        <w:spacing w:before="120" w:after="120"/>
        <w:ind w:left="2160"/>
      </w:pPr>
      <w:r w:rsidRPr="00E33B17">
        <w:t>The clinician justifies the LOC</w:t>
      </w:r>
      <w:r w:rsidR="007D2683" w:rsidRPr="00E33B17">
        <w:t>–</w:t>
      </w:r>
      <w:r w:rsidRPr="00E33B17">
        <w:t>D and the UM (utilization management) staff shall take this into consideration when determining the LOC</w:t>
      </w:r>
      <w:r w:rsidR="007D2683" w:rsidRPr="00E33B17">
        <w:t>–</w:t>
      </w:r>
      <w:r w:rsidRPr="00E33B17">
        <w:t>A (authorized).</w:t>
      </w:r>
    </w:p>
    <w:p w14:paraId="29746D2D" w14:textId="77777777" w:rsidR="008B4FF8" w:rsidRPr="00E33B17" w:rsidRDefault="008B4FF8">
      <w:pPr>
        <w:pStyle w:val="ListParagraph"/>
        <w:numPr>
          <w:ilvl w:val="3"/>
          <w:numId w:val="41"/>
        </w:numPr>
        <w:spacing w:before="120" w:after="120"/>
        <w:ind w:left="2160"/>
      </w:pPr>
      <w:r w:rsidRPr="00E33B17">
        <w:t xml:space="preserve">The clinician may not </w:t>
      </w:r>
      <w:r w:rsidR="00236629" w:rsidRPr="00E33B17">
        <w:t>cite</w:t>
      </w:r>
      <w:r w:rsidRPr="00E33B17">
        <w:t xml:space="preserve"> resource limitations for the LOC</w:t>
      </w:r>
      <w:r w:rsidR="007D2683" w:rsidRPr="00E33B17">
        <w:t>–</w:t>
      </w:r>
      <w:r w:rsidRPr="00E33B17">
        <w:t>D.</w:t>
      </w:r>
    </w:p>
    <w:p w14:paraId="728D2EA3" w14:textId="571477A2" w:rsidR="00AB4D0F" w:rsidRPr="00E33B17" w:rsidRDefault="00AB4D0F">
      <w:pPr>
        <w:pStyle w:val="ListParagraph"/>
        <w:numPr>
          <w:ilvl w:val="2"/>
          <w:numId w:val="41"/>
        </w:numPr>
        <w:spacing w:before="120" w:after="120"/>
        <w:ind w:left="1440" w:hanging="720"/>
      </w:pPr>
      <w:r w:rsidRPr="00E33B17">
        <w:t>LOC</w:t>
      </w:r>
      <w:r w:rsidR="007D2683" w:rsidRPr="00E33B17">
        <w:t>–</w:t>
      </w:r>
      <w:r w:rsidRPr="00E33B17">
        <w:t xml:space="preserve">R: The recommended level of care. </w:t>
      </w:r>
    </w:p>
    <w:p w14:paraId="2D431482" w14:textId="77777777" w:rsidR="008B4FF8" w:rsidRPr="00E33B17" w:rsidRDefault="008B4FF8">
      <w:pPr>
        <w:pStyle w:val="ListParagraph"/>
        <w:numPr>
          <w:ilvl w:val="2"/>
          <w:numId w:val="41"/>
        </w:numPr>
        <w:spacing w:before="120" w:after="120"/>
        <w:ind w:left="1440" w:hanging="720"/>
      </w:pPr>
      <w:r w:rsidRPr="00E33B17">
        <w:t>LOC</w:t>
      </w:r>
      <w:r w:rsidR="007D2683" w:rsidRPr="00E33B17">
        <w:t>–</w:t>
      </w:r>
      <w:r w:rsidRPr="00E33B17">
        <w:t>Y: Youth Empowerment Services (YES) Waiver clients.</w:t>
      </w:r>
    </w:p>
    <w:p w14:paraId="01768B48" w14:textId="473E6B20" w:rsidR="008B4FF8" w:rsidRPr="00E33B17" w:rsidRDefault="008B4FF8">
      <w:pPr>
        <w:pStyle w:val="ListParagraph"/>
        <w:numPr>
          <w:ilvl w:val="2"/>
          <w:numId w:val="41"/>
        </w:numPr>
        <w:spacing w:before="120" w:after="120"/>
        <w:ind w:left="1440" w:hanging="720"/>
      </w:pPr>
      <w:r w:rsidRPr="00E33B17">
        <w:lastRenderedPageBreak/>
        <w:t xml:space="preserve">MBOW: Mental and Behavioral health Outpatient Warehouse </w:t>
      </w:r>
    </w:p>
    <w:p w14:paraId="3BCA0AA5" w14:textId="69EE8732" w:rsidR="008B4FF8" w:rsidRPr="00E33B17" w:rsidRDefault="008B4FF8">
      <w:pPr>
        <w:pStyle w:val="ListParagraph"/>
        <w:numPr>
          <w:ilvl w:val="2"/>
          <w:numId w:val="41"/>
        </w:numPr>
        <w:spacing w:before="120" w:after="120"/>
        <w:ind w:left="1440" w:hanging="720"/>
      </w:pPr>
      <w:r w:rsidRPr="00E33B17">
        <w:t xml:space="preserve">Mental Health (MH) Hourly Service: Includes all mental health services reported via encounter data that are counted towards </w:t>
      </w:r>
      <w:r w:rsidR="0078213E">
        <w:t>contract</w:t>
      </w:r>
      <w:r w:rsidRPr="00E33B17">
        <w:t xml:space="preserve"> performance measures. It includes only services where the reporting unit is measured in hours (daily or residential services are excluded.) In addition, the following hourly services are excluded:</w:t>
      </w:r>
    </w:p>
    <w:p w14:paraId="51072C57" w14:textId="77777777" w:rsidR="008B4FF8" w:rsidRPr="00E33B17" w:rsidRDefault="008B4FF8">
      <w:pPr>
        <w:pStyle w:val="ListParagraph"/>
        <w:numPr>
          <w:ilvl w:val="3"/>
          <w:numId w:val="41"/>
        </w:numPr>
        <w:spacing w:before="120" w:after="120"/>
        <w:ind w:left="2160"/>
      </w:pPr>
      <w:r w:rsidRPr="00E33B17">
        <w:t>Telephone contacts; and</w:t>
      </w:r>
    </w:p>
    <w:p w14:paraId="1B3CE717" w14:textId="77777777" w:rsidR="008B4FF8" w:rsidRPr="00E33B17" w:rsidRDefault="008B4FF8">
      <w:pPr>
        <w:pStyle w:val="ListParagraph"/>
        <w:numPr>
          <w:ilvl w:val="3"/>
          <w:numId w:val="41"/>
        </w:numPr>
        <w:spacing w:before="120" w:after="120"/>
        <w:ind w:left="2160"/>
      </w:pPr>
      <w:r w:rsidRPr="00E33B17">
        <w:t>Services with a ‘GJ’ procedure code modifier.</w:t>
      </w:r>
    </w:p>
    <w:p w14:paraId="0A7A1CE6" w14:textId="77777777" w:rsidR="008B4FF8" w:rsidRPr="00E33B17" w:rsidRDefault="008B4FF8">
      <w:pPr>
        <w:pStyle w:val="ListParagraph"/>
        <w:numPr>
          <w:ilvl w:val="2"/>
          <w:numId w:val="41"/>
        </w:numPr>
        <w:spacing w:before="120" w:after="120"/>
        <w:ind w:left="1440" w:hanging="720"/>
      </w:pPr>
      <w:r w:rsidRPr="00E33B17">
        <w:t>Partially Authorized Months: Refers to months when a client was not authorized and being served in the community for the entire calendar month. Specifically, months where a client:</w:t>
      </w:r>
    </w:p>
    <w:p w14:paraId="09B3583C" w14:textId="77777777" w:rsidR="008B4FF8" w:rsidRPr="00E33B17" w:rsidRDefault="008B4FF8">
      <w:pPr>
        <w:pStyle w:val="ListParagraph"/>
        <w:numPr>
          <w:ilvl w:val="3"/>
          <w:numId w:val="41"/>
        </w:numPr>
        <w:spacing w:before="120" w:after="120"/>
        <w:ind w:left="2160"/>
      </w:pPr>
      <w:r w:rsidRPr="00E33B17">
        <w:t>Is admitted to service after the first day of the month;</w:t>
      </w:r>
    </w:p>
    <w:p w14:paraId="404C9D82" w14:textId="77777777" w:rsidR="008B4FF8" w:rsidRPr="00E33B17" w:rsidRDefault="008B4FF8">
      <w:pPr>
        <w:pStyle w:val="ListParagraph"/>
        <w:numPr>
          <w:ilvl w:val="3"/>
          <w:numId w:val="41"/>
        </w:numPr>
        <w:spacing w:before="120" w:after="120"/>
        <w:ind w:left="2160"/>
      </w:pPr>
      <w:r w:rsidRPr="00E33B17">
        <w:t>Is discharged from services;</w:t>
      </w:r>
    </w:p>
    <w:p w14:paraId="56436868" w14:textId="77777777" w:rsidR="008B4FF8" w:rsidRPr="00E33B17" w:rsidRDefault="008B4FF8">
      <w:pPr>
        <w:pStyle w:val="ListParagraph"/>
        <w:numPr>
          <w:ilvl w:val="3"/>
          <w:numId w:val="41"/>
        </w:numPr>
        <w:spacing w:before="120" w:after="120"/>
        <w:ind w:left="2160"/>
      </w:pPr>
      <w:r w:rsidRPr="00E33B17">
        <w:t xml:space="preserve">Changes authorized Level of Care; or </w:t>
      </w:r>
    </w:p>
    <w:p w14:paraId="730931FF" w14:textId="140651F9" w:rsidR="008B4FF8" w:rsidRDefault="008B4FF8">
      <w:pPr>
        <w:pStyle w:val="ListParagraph"/>
        <w:numPr>
          <w:ilvl w:val="3"/>
          <w:numId w:val="41"/>
        </w:numPr>
        <w:spacing w:before="120" w:after="120"/>
        <w:ind w:left="2160"/>
      </w:pPr>
      <w:r w:rsidRPr="00E33B17">
        <w:t>Has a</w:t>
      </w:r>
      <w:r w:rsidR="00B235DF">
        <w:t>n</w:t>
      </w:r>
      <w:r w:rsidRPr="00E33B17">
        <w:t xml:space="preserve"> </w:t>
      </w:r>
      <w:r w:rsidR="00B235DF">
        <w:t>HHSC</w:t>
      </w:r>
      <w:r w:rsidRPr="00E33B17">
        <w:t xml:space="preserve"> Inpatient Bed Day.</w:t>
      </w:r>
    </w:p>
    <w:p w14:paraId="51837BA6" w14:textId="79CFE53D" w:rsidR="00D33674" w:rsidRPr="00E33B17" w:rsidRDefault="00D33674" w:rsidP="00D33674">
      <w:pPr>
        <w:pStyle w:val="ListParagraph"/>
        <w:spacing w:before="120" w:after="120"/>
        <w:ind w:left="1440"/>
      </w:pPr>
      <w:r>
        <w:rPr>
          <w:i/>
          <w:iCs/>
        </w:rPr>
        <w:t>See also definitions for Client Month and Full Client Month.</w:t>
      </w:r>
    </w:p>
    <w:p w14:paraId="42D00A22" w14:textId="7852D7D3" w:rsidR="00F10475" w:rsidRPr="00E33B17" w:rsidRDefault="00F10475">
      <w:pPr>
        <w:pStyle w:val="ListParagraph"/>
        <w:numPr>
          <w:ilvl w:val="2"/>
          <w:numId w:val="41"/>
        </w:numPr>
        <w:spacing w:before="120" w:after="120"/>
        <w:ind w:left="1440" w:hanging="720"/>
      </w:pPr>
      <w:r w:rsidRPr="00E33B17">
        <w:t xml:space="preserve">PPB: A bed in a private psychiatric hospital funded through a PPB contract with </w:t>
      </w:r>
      <w:r w:rsidR="00B235DF">
        <w:t>HHSC</w:t>
      </w:r>
      <w:r w:rsidRPr="00E33B17">
        <w:t>.</w:t>
      </w:r>
    </w:p>
    <w:p w14:paraId="422195FD" w14:textId="77D8337C" w:rsidR="008B4FF8" w:rsidRPr="00E33B17" w:rsidRDefault="008B4FF8">
      <w:pPr>
        <w:pStyle w:val="ListParagraph"/>
        <w:numPr>
          <w:ilvl w:val="2"/>
          <w:numId w:val="41"/>
        </w:numPr>
        <w:spacing w:before="120" w:after="120"/>
        <w:ind w:left="1440" w:hanging="720"/>
      </w:pPr>
      <w:r w:rsidRPr="00E33B17">
        <w:t>RCI: Reliable Change Index. This value is calculated to determine significant change over time using the formula: RCI=((X_2</w:t>
      </w:r>
      <w:r w:rsidR="006633CA" w:rsidRPr="00E33B17">
        <w:t>–</w:t>
      </w:r>
      <w:r w:rsidRPr="00E33B17">
        <w:t>X_1 ))/</w:t>
      </w:r>
      <w:proofErr w:type="spellStart"/>
      <w:r w:rsidRPr="00E33B17">
        <w:t>SEdiff</w:t>
      </w:r>
      <w:proofErr w:type="spellEnd"/>
      <w:r w:rsidRPr="00E33B17">
        <w:t xml:space="preserve">, where </w:t>
      </w:r>
      <w:proofErr w:type="spellStart"/>
      <w:r w:rsidRPr="00E33B17">
        <w:t>SEdiff</w:t>
      </w:r>
      <w:proofErr w:type="spellEnd"/>
      <w:r w:rsidRPr="00E33B17">
        <w:t xml:space="preserve"> = SD*√(1</w:t>
      </w:r>
      <w:r w:rsidR="006633CA" w:rsidRPr="00E33B17">
        <w:t>–</w:t>
      </w:r>
      <w:proofErr w:type="spellStart"/>
      <w:r w:rsidRPr="00E33B17">
        <w:t>r_xx</w:t>
      </w:r>
      <w:proofErr w:type="spellEnd"/>
      <w:r w:rsidRPr="00E33B17">
        <w:t xml:space="preserve"> ). X1 = data value at time 1, X2 = data value at time 2, SD = Standard Deviation of the data observations (generated using first administrations of the test), and </w:t>
      </w:r>
      <w:proofErr w:type="spellStart"/>
      <w:r w:rsidRPr="00E33B17">
        <w:t>rxx</w:t>
      </w:r>
      <w:proofErr w:type="spellEnd"/>
      <w:r w:rsidRPr="00E33B17">
        <w:t xml:space="preserve"> = inter</w:t>
      </w:r>
      <w:r w:rsidR="007D2683" w:rsidRPr="00E33B17">
        <w:t>–</w:t>
      </w:r>
      <w:r w:rsidRPr="00E33B17">
        <w:t>rater reliability (this is a correlation representing consistency in use of the tool across multiple users of the tool)</w:t>
      </w:r>
      <w:r w:rsidR="0078213E" w:rsidRPr="00E33B17">
        <w:t xml:space="preserve">. </w:t>
      </w:r>
      <w:r w:rsidRPr="00E33B17">
        <w:t>The inter</w:t>
      </w:r>
      <w:r w:rsidR="007D2683" w:rsidRPr="00E33B17">
        <w:t>–</w:t>
      </w:r>
      <w:r w:rsidRPr="00E33B17">
        <w:t>rater reliability (</w:t>
      </w:r>
      <w:proofErr w:type="spellStart"/>
      <w:r w:rsidRPr="00E33B17">
        <w:t>r_xx</w:t>
      </w:r>
      <w:proofErr w:type="spellEnd"/>
      <w:r w:rsidRPr="00E33B17">
        <w:t>) for the Texas versions of the CANS and ANSA is a statistic number that is calculated every year and can be found on MBOW with more information about how to calculate and use the RCI.</w:t>
      </w:r>
    </w:p>
    <w:p w14:paraId="1D83EA5F" w14:textId="77777777" w:rsidR="00D2315F" w:rsidRPr="00E33B17" w:rsidRDefault="008B4FF8">
      <w:pPr>
        <w:pStyle w:val="ListParagraph"/>
        <w:numPr>
          <w:ilvl w:val="2"/>
          <w:numId w:val="41"/>
        </w:numPr>
        <w:spacing w:before="120" w:after="120"/>
        <w:ind w:left="1440" w:hanging="720"/>
      </w:pPr>
      <w:r w:rsidRPr="00E33B17">
        <w:t>Screening Service: Includes screening, hotline, crisis follow</w:t>
      </w:r>
      <w:r w:rsidR="007D2683" w:rsidRPr="00E33B17">
        <w:t>–</w:t>
      </w:r>
      <w:r w:rsidRPr="00E33B17">
        <w:t>up and relapse prevention, benefit eligibility determination, and continuity of services.</w:t>
      </w:r>
    </w:p>
    <w:p w14:paraId="68C301B8" w14:textId="05144C39" w:rsidR="00F10475" w:rsidRPr="00E33B17" w:rsidRDefault="00B235DF">
      <w:pPr>
        <w:pStyle w:val="ListParagraph"/>
        <w:numPr>
          <w:ilvl w:val="2"/>
          <w:numId w:val="41"/>
        </w:numPr>
        <w:spacing w:before="120" w:after="120"/>
        <w:ind w:left="1440" w:hanging="720"/>
      </w:pPr>
      <w:r>
        <w:t>HHSC</w:t>
      </w:r>
      <w:r w:rsidR="00F10475" w:rsidRPr="00E33B17">
        <w:t xml:space="preserve"> Contracted Bed</w:t>
      </w:r>
      <w:r w:rsidR="0068270A">
        <w:t xml:space="preserve">: </w:t>
      </w:r>
      <w:r w:rsidR="00F10475" w:rsidRPr="00E33B17">
        <w:t xml:space="preserve">A bed at the Montgomery County Mental Health Treatment Facility or the University of Texas health Science Center at Tyler funded through a contract with </w:t>
      </w:r>
      <w:r>
        <w:t>HHSC</w:t>
      </w:r>
      <w:r w:rsidR="00F10475" w:rsidRPr="00E33B17">
        <w:t>.</w:t>
      </w:r>
      <w:r w:rsidR="00F10475" w:rsidRPr="00E33B17" w:rsidDel="00D51BE2">
        <w:t xml:space="preserve"> </w:t>
      </w:r>
    </w:p>
    <w:p w14:paraId="1C25ED6D" w14:textId="12158B5A" w:rsidR="00345AA7" w:rsidRPr="00E33B17" w:rsidRDefault="00B235DF">
      <w:pPr>
        <w:pStyle w:val="ListParagraph"/>
        <w:numPr>
          <w:ilvl w:val="2"/>
          <w:numId w:val="41"/>
        </w:numPr>
        <w:spacing w:before="120" w:after="120"/>
        <w:ind w:left="1440" w:hanging="720"/>
      </w:pPr>
      <w:r>
        <w:t>HHSC</w:t>
      </w:r>
      <w:r w:rsidR="00345AA7" w:rsidRPr="00E33B17">
        <w:t xml:space="preserve"> </w:t>
      </w:r>
      <w:r w:rsidR="00AE0ECF" w:rsidRPr="00E33B17">
        <w:t>Inpatient</w:t>
      </w:r>
      <w:r w:rsidR="00345AA7" w:rsidRPr="00E33B17">
        <w:t xml:space="preserve"> Bed: Refers to accommodation at a state hospital</w:t>
      </w:r>
      <w:r w:rsidR="007D5E5B" w:rsidRPr="00E33B17">
        <w:t xml:space="preserve">; accommodation funded by </w:t>
      </w:r>
      <w:r>
        <w:t>HHSC</w:t>
      </w:r>
      <w:r w:rsidR="007D5E5B" w:rsidRPr="00E33B17">
        <w:t xml:space="preserve"> at a </w:t>
      </w:r>
      <w:r w:rsidR="004D2A3C" w:rsidRPr="00E33B17">
        <w:t>CMHH</w:t>
      </w:r>
      <w:r w:rsidR="009E2A01" w:rsidRPr="00E33B17">
        <w:t>,</w:t>
      </w:r>
      <w:r w:rsidR="00680A88" w:rsidRPr="00E33B17">
        <w:t xml:space="preserve"> </w:t>
      </w:r>
      <w:r w:rsidR="00D51BE2" w:rsidRPr="00E33B17">
        <w:t>t</w:t>
      </w:r>
      <w:r w:rsidR="00EF5039" w:rsidRPr="00E33B17">
        <w:t xml:space="preserve">he </w:t>
      </w:r>
      <w:r w:rsidR="00345AA7" w:rsidRPr="00E33B17">
        <w:t>Montgomery County Mental Health Treatment Facility</w:t>
      </w:r>
      <w:r w:rsidR="00FF33CE" w:rsidRPr="00E33B17">
        <w:t>,</w:t>
      </w:r>
      <w:r w:rsidR="009E2A01" w:rsidRPr="00E33B17">
        <w:t xml:space="preserve"> or</w:t>
      </w:r>
      <w:r w:rsidR="008910D3" w:rsidRPr="00E33B17">
        <w:t xml:space="preserve"> the University of Texas Health Science Center at Tyler</w:t>
      </w:r>
      <w:r w:rsidR="009E2A01" w:rsidRPr="00E33B17">
        <w:t>; a Private Psychiatric Bed (</w:t>
      </w:r>
      <w:r w:rsidR="00EF5039" w:rsidRPr="00E33B17">
        <w:t xml:space="preserve">PPB) funded by </w:t>
      </w:r>
      <w:r>
        <w:t>HHSC</w:t>
      </w:r>
      <w:r w:rsidR="00AA33D3" w:rsidRPr="00E33B17">
        <w:t xml:space="preserve">; or local hospitalizations </w:t>
      </w:r>
      <w:r w:rsidR="00AA33D3" w:rsidRPr="00E33B17">
        <w:lastRenderedPageBreak/>
        <w:t xml:space="preserve">paid for with </w:t>
      </w:r>
      <w:r>
        <w:t>HHSC</w:t>
      </w:r>
      <w:r w:rsidR="00AA33D3" w:rsidRPr="00E33B17">
        <w:t xml:space="preserve"> funding and reported as encounters using procedure codes T2048 and T2048HA. It excludes Crisis Stabilization Units (CSUs) – including Hill Country, Extended Observation Units (EOUs), Crisis Respite, Crisis Residential, and Rusk and Vernon forensic locations</w:t>
      </w:r>
      <w:r w:rsidR="00EF5039" w:rsidRPr="00E33B17">
        <w:t>.</w:t>
      </w:r>
      <w:r w:rsidR="0062208B" w:rsidRPr="00E33B17">
        <w:t xml:space="preserve"> </w:t>
      </w:r>
    </w:p>
    <w:p w14:paraId="7612328E" w14:textId="258804EF" w:rsidR="00345AA7" w:rsidRPr="00E33B17" w:rsidRDefault="00B235DF">
      <w:pPr>
        <w:pStyle w:val="ListParagraph"/>
        <w:numPr>
          <w:ilvl w:val="2"/>
          <w:numId w:val="41"/>
        </w:numPr>
        <w:spacing w:before="120" w:after="120"/>
        <w:ind w:left="1440" w:hanging="720"/>
      </w:pPr>
      <w:r>
        <w:t>HHSC</w:t>
      </w:r>
      <w:r w:rsidR="00345AA7" w:rsidRPr="00E33B17">
        <w:t xml:space="preserve"> </w:t>
      </w:r>
      <w:r w:rsidR="00AE0ECF" w:rsidRPr="00E33B17">
        <w:t xml:space="preserve">Inpatient </w:t>
      </w:r>
      <w:r w:rsidR="00345AA7" w:rsidRPr="00E33B17">
        <w:t>Bed Day: Refers to a day in a</w:t>
      </w:r>
      <w:r>
        <w:t>n</w:t>
      </w:r>
      <w:r w:rsidR="00345AA7" w:rsidRPr="00E33B17">
        <w:t xml:space="preserve"> </w:t>
      </w:r>
      <w:r>
        <w:t>HHSC</w:t>
      </w:r>
      <w:r w:rsidR="00345AA7" w:rsidRPr="00E33B17">
        <w:t xml:space="preserve"> Inpatient Bed. Generally the count includes each day in the facility that crossed midnight except for same day admissions and discharges which count as one day.</w:t>
      </w:r>
    </w:p>
    <w:p w14:paraId="332A6820" w14:textId="6E32196A" w:rsidR="008B4FF8" w:rsidRPr="00E33B17" w:rsidRDefault="004A7429">
      <w:pPr>
        <w:pStyle w:val="ListParagraph"/>
        <w:numPr>
          <w:ilvl w:val="2"/>
          <w:numId w:val="41"/>
        </w:numPr>
        <w:spacing w:before="120" w:after="120"/>
        <w:ind w:left="1440" w:hanging="720"/>
      </w:pPr>
      <w:r>
        <w:t xml:space="preserve">TLETS: </w:t>
      </w:r>
      <w:r w:rsidR="008B4FF8" w:rsidRPr="00E33B17">
        <w:t xml:space="preserve">Texas Law Enforcement Telecommunications System: </w:t>
      </w:r>
    </w:p>
    <w:p w14:paraId="7CE954E2" w14:textId="1305FA7C" w:rsidR="008B4FF8" w:rsidRPr="00E33B17" w:rsidRDefault="008B4FF8">
      <w:pPr>
        <w:pStyle w:val="ListParagraph"/>
        <w:numPr>
          <w:ilvl w:val="2"/>
          <w:numId w:val="41"/>
        </w:numPr>
        <w:spacing w:before="120" w:after="120"/>
        <w:ind w:left="1440" w:hanging="720"/>
      </w:pPr>
      <w:r w:rsidRPr="00E33B17">
        <w:t xml:space="preserve">Under Served: Refers to clients who are authorized to a less intensive Level of Care than the Level of Care recommended by the </w:t>
      </w:r>
      <w:r w:rsidR="00B235DF">
        <w:t>HHSC</w:t>
      </w:r>
      <w:r w:rsidRPr="00E33B17">
        <w:t xml:space="preserve"> approved uniform assessment calculator.</w:t>
      </w:r>
    </w:p>
    <w:p w14:paraId="1E6A6A53" w14:textId="69B58DC1" w:rsidR="004024FF" w:rsidRPr="00E33B17" w:rsidRDefault="004024FF">
      <w:pPr>
        <w:pStyle w:val="ListParagraph"/>
        <w:numPr>
          <w:ilvl w:val="2"/>
          <w:numId w:val="41"/>
        </w:numPr>
        <w:spacing w:before="120" w:after="120"/>
        <w:ind w:left="1440" w:hanging="720"/>
      </w:pPr>
      <w:r w:rsidRPr="00E33B17">
        <w:t xml:space="preserve">Uniform Assessment (UA): The assessment </w:t>
      </w:r>
      <w:r w:rsidR="00D75590" w:rsidRPr="00E33B17">
        <w:t xml:space="preserve">described in Section </w:t>
      </w:r>
      <w:r w:rsidR="006B73D8" w:rsidRPr="00E33B17">
        <w:t>VII</w:t>
      </w:r>
      <w:r w:rsidR="000A6513" w:rsidRPr="00E33B17">
        <w:t xml:space="preserve">. </w:t>
      </w:r>
      <w:r w:rsidR="00D75590" w:rsidRPr="00E33B17">
        <w:t xml:space="preserve">The Adult </w:t>
      </w:r>
      <w:r w:rsidR="00662958" w:rsidRPr="00E33B17">
        <w:t>UA</w:t>
      </w:r>
      <w:r w:rsidR="00D75590" w:rsidRPr="00E33B17">
        <w:t xml:space="preserve"> includes the Adult Needs and Strengths Assessment (ANSA), Diagnosis</w:t>
      </w:r>
      <w:r w:rsidR="007D2683" w:rsidRPr="00E33B17">
        <w:t>–</w:t>
      </w:r>
      <w:r w:rsidR="00D75590" w:rsidRPr="00E33B17">
        <w:t>specific Clinical Rating Scales, and Community Data</w:t>
      </w:r>
      <w:r w:rsidR="0078213E" w:rsidRPr="00E33B17">
        <w:t xml:space="preserve">. </w:t>
      </w:r>
      <w:r w:rsidR="00D75590" w:rsidRPr="00E33B17">
        <w:t xml:space="preserve">The </w:t>
      </w:r>
      <w:r w:rsidR="00662958" w:rsidRPr="00E33B17">
        <w:t>UA for children includes the Child and Adolescent Needs Strengths Assessment (CANS) and Community Data.</w:t>
      </w:r>
    </w:p>
    <w:p w14:paraId="737DAE51" w14:textId="77777777" w:rsidR="008B4FF8" w:rsidRPr="00E33B17" w:rsidRDefault="008B4FF8">
      <w:pPr>
        <w:pStyle w:val="ListParagraph"/>
        <w:numPr>
          <w:ilvl w:val="2"/>
          <w:numId w:val="41"/>
        </w:numPr>
        <w:spacing w:before="120" w:after="120"/>
        <w:ind w:left="1440" w:hanging="720"/>
      </w:pPr>
      <w:r w:rsidRPr="00E33B17">
        <w:t>Valid TLETS Booking: Refers to a request issued by the DPS TLETS system to perform a match of consumers in the mental health data system that has been logged in CARE. As duplicate matches are issued at times, only the first match is retained each date of request per jail facility name, County and set of match elements (first name, last name, date of birth gender, SSN, race).</w:t>
      </w:r>
    </w:p>
    <w:p w14:paraId="37955429" w14:textId="77777777" w:rsidR="00A2198A" w:rsidRPr="00E33B17" w:rsidRDefault="00A2198A" w:rsidP="00C72DF1"/>
    <w:sectPr w:rsidR="00A2198A" w:rsidRPr="00E33B17" w:rsidSect="006851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95AA" w14:textId="77777777" w:rsidR="006465BE" w:rsidRDefault="006465BE" w:rsidP="009913CE">
      <w:pPr>
        <w:spacing w:after="0" w:line="240" w:lineRule="auto"/>
      </w:pPr>
      <w:r>
        <w:separator/>
      </w:r>
    </w:p>
  </w:endnote>
  <w:endnote w:type="continuationSeparator" w:id="0">
    <w:p w14:paraId="1CF64807" w14:textId="77777777" w:rsidR="006465BE" w:rsidRDefault="006465BE" w:rsidP="009913CE">
      <w:pPr>
        <w:spacing w:after="0" w:line="240" w:lineRule="auto"/>
      </w:pPr>
      <w:r>
        <w:continuationSeparator/>
      </w:r>
    </w:p>
  </w:endnote>
  <w:endnote w:type="continuationNotice" w:id="1">
    <w:p w14:paraId="43F8A3A2" w14:textId="77777777" w:rsidR="006465BE" w:rsidRDefault="006465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7F72" w14:textId="77777777" w:rsidR="00787F69" w:rsidRDefault="00787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75427"/>
      <w:docPartObj>
        <w:docPartGallery w:val="Page Numbers (Bottom of Page)"/>
        <w:docPartUnique/>
      </w:docPartObj>
    </w:sdtPr>
    <w:sdtEndPr>
      <w:rPr>
        <w:noProof/>
      </w:rPr>
    </w:sdtEndPr>
    <w:sdtContent>
      <w:p w14:paraId="0BB7E494" w14:textId="2C1F0D0C" w:rsidR="00AD76D4" w:rsidRDefault="00950C0C" w:rsidP="00950C0C">
        <w:pPr>
          <w:pStyle w:val="Footer"/>
        </w:pPr>
        <w:r>
          <w:t>Revised 9/1/</w:t>
        </w:r>
        <w:r w:rsidR="00EB53D1">
          <w:t>2023</w:t>
        </w:r>
        <w:r>
          <w:tab/>
        </w:r>
        <w:r w:rsidR="00B62EEF">
          <w:t>Information Item C</w:t>
        </w:r>
        <w:r w:rsidR="00B62EEF">
          <w:tab/>
          <w:t xml:space="preserve">Page </w:t>
        </w:r>
        <w:r w:rsidR="00DE715F">
          <w:t xml:space="preserve">Info C - </w:t>
        </w:r>
        <w:r w:rsidR="00AD76D4">
          <w:fldChar w:fldCharType="begin"/>
        </w:r>
        <w:r w:rsidR="00AD76D4">
          <w:instrText xml:space="preserve"> PAGE   \* MERGEFORMAT </w:instrText>
        </w:r>
        <w:r w:rsidR="00AD76D4">
          <w:fldChar w:fldCharType="separate"/>
        </w:r>
        <w:r w:rsidR="00AD76D4">
          <w:rPr>
            <w:noProof/>
          </w:rPr>
          <w:t>33</w:t>
        </w:r>
        <w:r w:rsidR="00AD76D4">
          <w:rPr>
            <w:noProof/>
          </w:rPr>
          <w:fldChar w:fldCharType="end"/>
        </w:r>
      </w:p>
    </w:sdtContent>
  </w:sdt>
  <w:p w14:paraId="28C8B82A" w14:textId="70427834" w:rsidR="00AD76D4" w:rsidRDefault="00AD7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868F" w14:textId="77777777" w:rsidR="00787F69" w:rsidRDefault="00787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40D6" w14:textId="77777777" w:rsidR="006465BE" w:rsidRDefault="006465BE" w:rsidP="009913CE">
      <w:pPr>
        <w:spacing w:after="0" w:line="240" w:lineRule="auto"/>
      </w:pPr>
      <w:r>
        <w:separator/>
      </w:r>
    </w:p>
  </w:footnote>
  <w:footnote w:type="continuationSeparator" w:id="0">
    <w:p w14:paraId="606F0211" w14:textId="77777777" w:rsidR="006465BE" w:rsidRDefault="006465BE" w:rsidP="009913CE">
      <w:pPr>
        <w:spacing w:after="0" w:line="240" w:lineRule="auto"/>
      </w:pPr>
      <w:r>
        <w:continuationSeparator/>
      </w:r>
    </w:p>
  </w:footnote>
  <w:footnote w:type="continuationNotice" w:id="1">
    <w:p w14:paraId="65A22623" w14:textId="77777777" w:rsidR="006465BE" w:rsidRDefault="006465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3DA9" w14:textId="1E23CC57" w:rsidR="00787F69" w:rsidRDefault="00787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20F0" w14:textId="5E62F10F" w:rsidR="00E33B17" w:rsidRPr="00C72DF1" w:rsidRDefault="00E33B17" w:rsidP="00C72DF1">
    <w:pPr>
      <w:pStyle w:val="Header"/>
      <w:jc w:val="center"/>
      <w:rPr>
        <w:b/>
        <w:bCs/>
        <w:sz w:val="40"/>
        <w:szCs w:val="40"/>
      </w:rPr>
    </w:pPr>
    <w:r w:rsidRPr="00C72DF1">
      <w:rPr>
        <w:b/>
        <w:bCs/>
        <w:sz w:val="40"/>
        <w:szCs w:val="40"/>
      </w:rPr>
      <w:t>Information Item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3E96" w14:textId="00357706" w:rsidR="00787F69" w:rsidRDefault="0078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05"/>
    <w:multiLevelType w:val="multilevel"/>
    <w:tmpl w:val="DCA2B498"/>
    <w:numStyleLink w:val="InfoCOutline"/>
  </w:abstractNum>
  <w:abstractNum w:abstractNumId="1" w15:restartNumberingAfterBreak="0">
    <w:nsid w:val="026B7775"/>
    <w:multiLevelType w:val="hybridMultilevel"/>
    <w:tmpl w:val="0AB03F7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AC46B2"/>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3" w15:restartNumberingAfterBreak="0">
    <w:nsid w:val="064D778A"/>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4" w15:restartNumberingAfterBreak="0">
    <w:nsid w:val="08B12C08"/>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5" w15:restartNumberingAfterBreak="0">
    <w:nsid w:val="0F0F6592"/>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6" w15:restartNumberingAfterBreak="0">
    <w:nsid w:val="1868745D"/>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7" w15:restartNumberingAfterBreak="0">
    <w:nsid w:val="19DA6A01"/>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8" w15:restartNumberingAfterBreak="0">
    <w:nsid w:val="1A0E37DD"/>
    <w:multiLevelType w:val="hybridMultilevel"/>
    <w:tmpl w:val="AEDA66AA"/>
    <w:lvl w:ilvl="0" w:tplc="95DCB38A">
      <w:start w:val="1"/>
      <w:numFmt w:val="lowerRoman"/>
      <w:pStyle w:val="Stylei"/>
      <w:lvlText w:val="%1."/>
      <w:lvlJc w:val="right"/>
      <w:pPr>
        <w:ind w:left="2700" w:hanging="360"/>
      </w:pPr>
    </w:lvl>
    <w:lvl w:ilvl="1" w:tplc="04090019">
      <w:start w:val="1"/>
      <w:numFmt w:val="lowerLetter"/>
      <w:pStyle w:val="Stylei"/>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1AC05BF5"/>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10" w15:restartNumberingAfterBreak="0">
    <w:nsid w:val="1AE32C67"/>
    <w:multiLevelType w:val="multilevel"/>
    <w:tmpl w:val="3624880C"/>
    <w:lvl w:ilvl="0">
      <w:start w:val="1"/>
      <w:numFmt w:val="upperRoman"/>
      <w:lvlText w:val="%1."/>
      <w:lvlJc w:val="left"/>
      <w:pPr>
        <w:ind w:left="360" w:hanging="360"/>
      </w:pPr>
      <w:rPr>
        <w:rFonts w:ascii="Verdana" w:hAnsi="Verdana"/>
        <w:b/>
        <w:kern w:val="24"/>
        <w:sz w:val="28"/>
      </w:rPr>
    </w:lvl>
    <w:lvl w:ilvl="1">
      <w:start w:val="1"/>
      <w:numFmt w:val="upperLetter"/>
      <w:lvlText w:val="%2."/>
      <w:lvlJc w:val="left"/>
      <w:pPr>
        <w:ind w:left="1080" w:hanging="360"/>
      </w:pPr>
      <w:rPr>
        <w:rFonts w:ascii="Verdana" w:hAnsi="Verdana"/>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11" w15:restartNumberingAfterBreak="0">
    <w:nsid w:val="1B3A47D8"/>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12" w15:restartNumberingAfterBreak="0">
    <w:nsid w:val="206F743C"/>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13" w15:restartNumberingAfterBreak="0">
    <w:nsid w:val="23A82BB6"/>
    <w:multiLevelType w:val="singleLevel"/>
    <w:tmpl w:val="6E16C810"/>
    <w:lvl w:ilvl="0">
      <w:start w:val="1"/>
      <w:numFmt w:val="bullet"/>
      <w:pStyle w:val="bullet1ofmore"/>
      <w:lvlText w:val=""/>
      <w:lvlJc w:val="left"/>
      <w:pPr>
        <w:tabs>
          <w:tab w:val="num" w:pos="504"/>
        </w:tabs>
        <w:ind w:left="504" w:hanging="360"/>
      </w:pPr>
      <w:rPr>
        <w:rFonts w:ascii="Wingdings" w:hAnsi="Wingdings" w:hint="default"/>
      </w:rPr>
    </w:lvl>
  </w:abstractNum>
  <w:abstractNum w:abstractNumId="14" w15:restartNumberingAfterBreak="0">
    <w:nsid w:val="23FA5D29"/>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15" w15:restartNumberingAfterBreak="0">
    <w:nsid w:val="24AA58D2"/>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16" w15:restartNumberingAfterBreak="0">
    <w:nsid w:val="292A6048"/>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17" w15:restartNumberingAfterBreak="0">
    <w:nsid w:val="29B00512"/>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18" w15:restartNumberingAfterBreak="0">
    <w:nsid w:val="2CAC103D"/>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19" w15:restartNumberingAfterBreak="0">
    <w:nsid w:val="2CFA1C41"/>
    <w:multiLevelType w:val="multilevel"/>
    <w:tmpl w:val="3624880C"/>
    <w:lvl w:ilvl="0">
      <w:start w:val="1"/>
      <w:numFmt w:val="upperRoman"/>
      <w:lvlText w:val="%1."/>
      <w:lvlJc w:val="left"/>
      <w:pPr>
        <w:ind w:left="360" w:hanging="360"/>
      </w:pPr>
      <w:rPr>
        <w:rFonts w:ascii="Verdana" w:hAnsi="Verdana"/>
        <w:b/>
        <w:kern w:val="24"/>
        <w:sz w:val="28"/>
      </w:rPr>
    </w:lvl>
    <w:lvl w:ilvl="1">
      <w:start w:val="1"/>
      <w:numFmt w:val="upperLetter"/>
      <w:lvlText w:val="%2."/>
      <w:lvlJc w:val="left"/>
      <w:pPr>
        <w:ind w:left="1080" w:hanging="360"/>
      </w:pPr>
      <w:rPr>
        <w:rFonts w:ascii="Verdana" w:hAnsi="Verdana"/>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20" w15:restartNumberingAfterBreak="0">
    <w:nsid w:val="344E459A"/>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21" w15:restartNumberingAfterBreak="0">
    <w:nsid w:val="35A824CF"/>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22" w15:restartNumberingAfterBreak="0">
    <w:nsid w:val="3792243D"/>
    <w:multiLevelType w:val="multilevel"/>
    <w:tmpl w:val="3624880C"/>
    <w:lvl w:ilvl="0">
      <w:start w:val="1"/>
      <w:numFmt w:val="upperRoman"/>
      <w:lvlText w:val="%1."/>
      <w:lvlJc w:val="left"/>
      <w:pPr>
        <w:ind w:left="360" w:hanging="360"/>
      </w:pPr>
      <w:rPr>
        <w:rFonts w:ascii="Verdana" w:hAnsi="Verdana"/>
        <w:b/>
        <w:kern w:val="24"/>
        <w:sz w:val="28"/>
      </w:rPr>
    </w:lvl>
    <w:lvl w:ilvl="1">
      <w:start w:val="1"/>
      <w:numFmt w:val="upperLetter"/>
      <w:lvlText w:val="%2."/>
      <w:lvlJc w:val="left"/>
      <w:pPr>
        <w:ind w:left="1080" w:hanging="360"/>
      </w:pPr>
      <w:rPr>
        <w:rFonts w:ascii="Verdana" w:hAnsi="Verdana"/>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23" w15:restartNumberingAfterBreak="0">
    <w:nsid w:val="38C51FB4"/>
    <w:multiLevelType w:val="multilevel"/>
    <w:tmpl w:val="3624880C"/>
    <w:lvl w:ilvl="0">
      <w:start w:val="1"/>
      <w:numFmt w:val="upperRoman"/>
      <w:lvlText w:val="%1."/>
      <w:lvlJc w:val="left"/>
      <w:pPr>
        <w:ind w:left="360" w:hanging="360"/>
      </w:pPr>
      <w:rPr>
        <w:rFonts w:ascii="Verdana" w:hAnsi="Verdana"/>
        <w:b/>
        <w:kern w:val="24"/>
        <w:sz w:val="28"/>
      </w:rPr>
    </w:lvl>
    <w:lvl w:ilvl="1">
      <w:start w:val="1"/>
      <w:numFmt w:val="upperLetter"/>
      <w:lvlText w:val="%2."/>
      <w:lvlJc w:val="left"/>
      <w:pPr>
        <w:ind w:left="1080" w:hanging="360"/>
      </w:pPr>
      <w:rPr>
        <w:rFonts w:ascii="Verdana" w:hAnsi="Verdana"/>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24" w15:restartNumberingAfterBreak="0">
    <w:nsid w:val="3E422080"/>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25" w15:restartNumberingAfterBreak="0">
    <w:nsid w:val="424D36EA"/>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26" w15:restartNumberingAfterBreak="0">
    <w:nsid w:val="42A43F8A"/>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27" w15:restartNumberingAfterBreak="0">
    <w:nsid w:val="432A536C"/>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28" w15:restartNumberingAfterBreak="0">
    <w:nsid w:val="499775F3"/>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29" w15:restartNumberingAfterBreak="0">
    <w:nsid w:val="4D1D284A"/>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30" w15:restartNumberingAfterBreak="0">
    <w:nsid w:val="53052FFF"/>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31" w15:restartNumberingAfterBreak="0">
    <w:nsid w:val="55EA412C"/>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32" w15:restartNumberingAfterBreak="0">
    <w:nsid w:val="56E55176"/>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33" w15:restartNumberingAfterBreak="0">
    <w:nsid w:val="59E334AF"/>
    <w:multiLevelType w:val="singleLevel"/>
    <w:tmpl w:val="C054E4EA"/>
    <w:lvl w:ilvl="0">
      <w:start w:val="1"/>
      <w:numFmt w:val="bullet"/>
      <w:pStyle w:val="bulletlast"/>
      <w:lvlText w:val=""/>
      <w:lvlJc w:val="left"/>
      <w:pPr>
        <w:tabs>
          <w:tab w:val="num" w:pos="1440"/>
        </w:tabs>
        <w:ind w:left="1440" w:hanging="360"/>
      </w:pPr>
      <w:rPr>
        <w:rFonts w:ascii="Wingdings" w:hAnsi="Wingdings" w:hint="default"/>
      </w:rPr>
    </w:lvl>
  </w:abstractNum>
  <w:abstractNum w:abstractNumId="34" w15:restartNumberingAfterBreak="0">
    <w:nsid w:val="64462C94"/>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35" w15:restartNumberingAfterBreak="0">
    <w:nsid w:val="648E6251"/>
    <w:multiLevelType w:val="hybridMultilevel"/>
    <w:tmpl w:val="2A2AFF10"/>
    <w:lvl w:ilvl="0" w:tplc="8D928C88">
      <w:start w:val="1"/>
      <w:numFmt w:val="lowerLetter"/>
      <w:pStyle w:val="Style11"/>
      <w:lvlText w:val="%1."/>
      <w:lvlJc w:val="left"/>
      <w:pPr>
        <w:ind w:left="1800" w:hanging="360"/>
      </w:pPr>
      <w:rPr>
        <w:rFonts w:ascii="Verdana" w:eastAsiaTheme="minorHAnsi" w:hAnsi="Verdana" w:cstheme="minorBidi" w:hint="default"/>
        <w:b w:val="0"/>
        <w:bCs/>
      </w:rPr>
    </w:lvl>
    <w:lvl w:ilvl="1" w:tplc="2B523338">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2674B2"/>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37" w15:restartNumberingAfterBreak="0">
    <w:nsid w:val="6BC942F1"/>
    <w:multiLevelType w:val="multilevel"/>
    <w:tmpl w:val="DCA2B498"/>
    <w:styleLink w:val="InfoCOutline"/>
    <w:lvl w:ilvl="0">
      <w:start w:val="1"/>
      <w:numFmt w:val="upperRoman"/>
      <w:pStyle w:val="Heading1"/>
      <w:lvlText w:val="%1."/>
      <w:lvlJc w:val="left"/>
      <w:pPr>
        <w:ind w:left="360" w:hanging="360"/>
      </w:pPr>
      <w:rPr>
        <w:rFonts w:ascii="Verdana" w:hAnsi="Verdana" w:hint="default"/>
        <w:b/>
        <w:kern w:val="24"/>
        <w:sz w:val="28"/>
      </w:rPr>
    </w:lvl>
    <w:lvl w:ilvl="1">
      <w:start w:val="1"/>
      <w:numFmt w:val="upperLetter"/>
      <w:pStyle w:val="Heading2"/>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38" w15:restartNumberingAfterBreak="0">
    <w:nsid w:val="71CF70F8"/>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39" w15:restartNumberingAfterBreak="0">
    <w:nsid w:val="775E2D32"/>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40" w15:restartNumberingAfterBreak="0">
    <w:nsid w:val="7C7263E5"/>
    <w:multiLevelType w:val="multilevel"/>
    <w:tmpl w:val="3624880C"/>
    <w:lvl w:ilvl="0">
      <w:start w:val="1"/>
      <w:numFmt w:val="upperRoman"/>
      <w:lvlText w:val="%1."/>
      <w:lvlJc w:val="left"/>
      <w:pPr>
        <w:ind w:left="360" w:hanging="360"/>
      </w:pPr>
      <w:rPr>
        <w:rFonts w:ascii="Verdana" w:hAnsi="Verdana" w:hint="default"/>
        <w:b/>
        <w:kern w:val="24"/>
        <w:sz w:val="28"/>
      </w:rPr>
    </w:lvl>
    <w:lvl w:ilvl="1">
      <w:start w:val="1"/>
      <w:numFmt w:val="upperLetter"/>
      <w:lvlText w:val="%2."/>
      <w:lvlJc w:val="left"/>
      <w:pPr>
        <w:ind w:left="1080" w:hanging="360"/>
      </w:pPr>
      <w:rPr>
        <w:rFonts w:ascii="Verdana" w:hAnsi="Verdana" w:hint="default"/>
        <w:b/>
        <w:sz w:val="24"/>
      </w:rPr>
    </w:lvl>
    <w:lvl w:ilvl="2">
      <w:start w:val="1"/>
      <w:numFmt w:val="decimal"/>
      <w:lvlText w:val="%3."/>
      <w:lvlJc w:val="left"/>
      <w:pPr>
        <w:ind w:left="1800" w:hanging="360"/>
      </w:pPr>
      <w:rPr>
        <w:rFonts w:ascii="Verdana" w:hAnsi="Verdana" w:hint="default"/>
        <w:sz w:val="24"/>
      </w:rPr>
    </w:lvl>
    <w:lvl w:ilvl="3">
      <w:start w:val="1"/>
      <w:numFmt w:val="lowerRoman"/>
      <w:lvlText w:val="%4."/>
      <w:lvlJc w:val="left"/>
      <w:pPr>
        <w:ind w:left="2520" w:hanging="360"/>
      </w:pPr>
      <w:rPr>
        <w:rFonts w:ascii="Verdana" w:hAnsi="Verdana" w:hint="default"/>
        <w:sz w:val="24"/>
      </w:rPr>
    </w:lvl>
    <w:lvl w:ilvl="4">
      <w:start w:val="1"/>
      <w:numFmt w:val="lowerLetter"/>
      <w:lvlText w:val="%5."/>
      <w:lvlJc w:val="left"/>
      <w:pPr>
        <w:ind w:left="3240" w:hanging="360"/>
      </w:pPr>
      <w:rPr>
        <w:rFonts w:ascii="Verdana" w:hAnsi="Verdana" w:hint="default"/>
        <w:sz w:val="24"/>
      </w:rPr>
    </w:lvl>
    <w:lvl w:ilvl="5">
      <w:start w:val="1"/>
      <w:numFmt w:val="lowerRoman"/>
      <w:lvlText w:val="(%6)"/>
      <w:lvlJc w:val="left"/>
      <w:pPr>
        <w:ind w:left="3960" w:hanging="360"/>
      </w:pPr>
      <w:rPr>
        <w:rFonts w:ascii="Verdana" w:hAnsi="Verdana" w:hint="default"/>
        <w:sz w:val="24"/>
      </w:rPr>
    </w:lvl>
    <w:lvl w:ilvl="6">
      <w:start w:val="1"/>
      <w:numFmt w:val="decimal"/>
      <w:lvlText w:val="(%7)"/>
      <w:lvlJc w:val="left"/>
      <w:pPr>
        <w:ind w:left="4680" w:hanging="360"/>
      </w:pPr>
      <w:rPr>
        <w:rFonts w:ascii="Verdana" w:hAnsi="Verdana" w:hint="default"/>
        <w:sz w:val="24"/>
      </w:rPr>
    </w:lvl>
    <w:lvl w:ilvl="7">
      <w:start w:val="1"/>
      <w:numFmt w:val="lowerLetter"/>
      <w:lvlText w:val="(%8)"/>
      <w:lvlJc w:val="left"/>
      <w:pPr>
        <w:ind w:left="5400" w:hanging="360"/>
      </w:pPr>
      <w:rPr>
        <w:rFonts w:ascii="Verdana" w:hAnsi="Verdana" w:hint="default"/>
        <w:sz w:val="24"/>
      </w:rPr>
    </w:lvl>
    <w:lvl w:ilvl="8">
      <w:start w:val="1"/>
      <w:numFmt w:val="lowerRoman"/>
      <w:lvlText w:val="%9."/>
      <w:lvlJc w:val="left"/>
      <w:pPr>
        <w:ind w:left="6480" w:hanging="360"/>
      </w:pPr>
      <w:rPr>
        <w:rFonts w:ascii="Verdana" w:hAnsi="Verdana" w:hint="default"/>
        <w:sz w:val="24"/>
      </w:rPr>
    </w:lvl>
  </w:abstractNum>
  <w:abstractNum w:abstractNumId="41" w15:restartNumberingAfterBreak="0">
    <w:nsid w:val="7FCD3B06"/>
    <w:multiLevelType w:val="multilevel"/>
    <w:tmpl w:val="DCA2B498"/>
    <w:numStyleLink w:val="InfoCOutline"/>
  </w:abstractNum>
  <w:num w:numId="1" w16cid:durableId="1310941910">
    <w:abstractNumId w:val="35"/>
  </w:num>
  <w:num w:numId="2" w16cid:durableId="544374605">
    <w:abstractNumId w:val="8"/>
  </w:num>
  <w:num w:numId="3" w16cid:durableId="1978798108">
    <w:abstractNumId w:val="33"/>
  </w:num>
  <w:num w:numId="4" w16cid:durableId="1328628807">
    <w:abstractNumId w:val="13"/>
  </w:num>
  <w:num w:numId="5" w16cid:durableId="2124033493">
    <w:abstractNumId w:val="37"/>
  </w:num>
  <w:num w:numId="6" w16cid:durableId="828402968">
    <w:abstractNumId w:val="41"/>
  </w:num>
  <w:num w:numId="7" w16cid:durableId="946808890">
    <w:abstractNumId w:val="0"/>
  </w:num>
  <w:num w:numId="8" w16cid:durableId="563377404">
    <w:abstractNumId w:val="17"/>
  </w:num>
  <w:num w:numId="9" w16cid:durableId="153105189">
    <w:abstractNumId w:val="30"/>
  </w:num>
  <w:num w:numId="10" w16cid:durableId="1131244205">
    <w:abstractNumId w:val="3"/>
  </w:num>
  <w:num w:numId="11" w16cid:durableId="2017800704">
    <w:abstractNumId w:val="12"/>
  </w:num>
  <w:num w:numId="12" w16cid:durableId="1261598919">
    <w:abstractNumId w:val="28"/>
  </w:num>
  <w:num w:numId="13" w16cid:durableId="1905986427">
    <w:abstractNumId w:val="5"/>
  </w:num>
  <w:num w:numId="14" w16cid:durableId="2020043198">
    <w:abstractNumId w:val="11"/>
  </w:num>
  <w:num w:numId="15" w16cid:durableId="1869443928">
    <w:abstractNumId w:val="20"/>
  </w:num>
  <w:num w:numId="16" w16cid:durableId="539634179">
    <w:abstractNumId w:val="18"/>
  </w:num>
  <w:num w:numId="17" w16cid:durableId="1979143266">
    <w:abstractNumId w:val="4"/>
  </w:num>
  <w:num w:numId="18" w16cid:durableId="1686444501">
    <w:abstractNumId w:val="21"/>
  </w:num>
  <w:num w:numId="19" w16cid:durableId="411896587">
    <w:abstractNumId w:val="36"/>
  </w:num>
  <w:num w:numId="20" w16cid:durableId="476262379">
    <w:abstractNumId w:val="38"/>
  </w:num>
  <w:num w:numId="21" w16cid:durableId="1749886993">
    <w:abstractNumId w:val="29"/>
  </w:num>
  <w:num w:numId="22" w16cid:durableId="382296311">
    <w:abstractNumId w:val="27"/>
  </w:num>
  <w:num w:numId="23" w16cid:durableId="1972594537">
    <w:abstractNumId w:val="24"/>
  </w:num>
  <w:num w:numId="24" w16cid:durableId="1689062144">
    <w:abstractNumId w:val="25"/>
  </w:num>
  <w:num w:numId="25" w16cid:durableId="2007127421">
    <w:abstractNumId w:val="16"/>
  </w:num>
  <w:num w:numId="26" w16cid:durableId="345793867">
    <w:abstractNumId w:val="39"/>
  </w:num>
  <w:num w:numId="27" w16cid:durableId="1734038011">
    <w:abstractNumId w:val="32"/>
  </w:num>
  <w:num w:numId="28" w16cid:durableId="1851601208">
    <w:abstractNumId w:val="34"/>
  </w:num>
  <w:num w:numId="29" w16cid:durableId="1755281517">
    <w:abstractNumId w:val="2"/>
  </w:num>
  <w:num w:numId="30" w16cid:durableId="112944342">
    <w:abstractNumId w:val="40"/>
  </w:num>
  <w:num w:numId="31" w16cid:durableId="52823989">
    <w:abstractNumId w:val="31"/>
  </w:num>
  <w:num w:numId="32" w16cid:durableId="752312333">
    <w:abstractNumId w:val="19"/>
  </w:num>
  <w:num w:numId="33" w16cid:durableId="1871257248">
    <w:abstractNumId w:val="6"/>
  </w:num>
  <w:num w:numId="34" w16cid:durableId="1700934487">
    <w:abstractNumId w:val="26"/>
  </w:num>
  <w:num w:numId="35" w16cid:durableId="739402990">
    <w:abstractNumId w:val="14"/>
  </w:num>
  <w:num w:numId="36" w16cid:durableId="1869105604">
    <w:abstractNumId w:val="7"/>
  </w:num>
  <w:num w:numId="37" w16cid:durableId="390931468">
    <w:abstractNumId w:val="9"/>
  </w:num>
  <w:num w:numId="38" w16cid:durableId="802649346">
    <w:abstractNumId w:val="15"/>
  </w:num>
  <w:num w:numId="39" w16cid:durableId="118190300">
    <w:abstractNumId w:val="1"/>
  </w:num>
  <w:num w:numId="40" w16cid:durableId="1757632730">
    <w:abstractNumId w:val="22"/>
  </w:num>
  <w:num w:numId="41" w16cid:durableId="2112242060">
    <w:abstractNumId w:val="23"/>
  </w:num>
  <w:num w:numId="42" w16cid:durableId="678847107">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jA3NDUwNzM1szBU0lEKTi0uzszPAykwrwUA8NV67CwAAAA="/>
  </w:docVars>
  <w:rsids>
    <w:rsidRoot w:val="00CE6CC7"/>
    <w:rsid w:val="0000455F"/>
    <w:rsid w:val="00005830"/>
    <w:rsid w:val="00005B23"/>
    <w:rsid w:val="0001045A"/>
    <w:rsid w:val="00010EBB"/>
    <w:rsid w:val="00010FBC"/>
    <w:rsid w:val="00011C15"/>
    <w:rsid w:val="0001234B"/>
    <w:rsid w:val="00014109"/>
    <w:rsid w:val="000162BF"/>
    <w:rsid w:val="00016EDD"/>
    <w:rsid w:val="0001775D"/>
    <w:rsid w:val="000201D1"/>
    <w:rsid w:val="00021059"/>
    <w:rsid w:val="00023210"/>
    <w:rsid w:val="00023903"/>
    <w:rsid w:val="000239EF"/>
    <w:rsid w:val="00025FFF"/>
    <w:rsid w:val="00026C4D"/>
    <w:rsid w:val="00030984"/>
    <w:rsid w:val="000336A0"/>
    <w:rsid w:val="0003384C"/>
    <w:rsid w:val="00036932"/>
    <w:rsid w:val="0004049A"/>
    <w:rsid w:val="000415C9"/>
    <w:rsid w:val="000417DB"/>
    <w:rsid w:val="00042035"/>
    <w:rsid w:val="00042150"/>
    <w:rsid w:val="00043E50"/>
    <w:rsid w:val="000451C4"/>
    <w:rsid w:val="00045E5A"/>
    <w:rsid w:val="00045EF6"/>
    <w:rsid w:val="00046ED3"/>
    <w:rsid w:val="00050003"/>
    <w:rsid w:val="00050E04"/>
    <w:rsid w:val="000525DC"/>
    <w:rsid w:val="0005264E"/>
    <w:rsid w:val="00053347"/>
    <w:rsid w:val="000569B5"/>
    <w:rsid w:val="00062A65"/>
    <w:rsid w:val="00063068"/>
    <w:rsid w:val="0006589C"/>
    <w:rsid w:val="0007247A"/>
    <w:rsid w:val="000728B6"/>
    <w:rsid w:val="000729A4"/>
    <w:rsid w:val="00072B1F"/>
    <w:rsid w:val="000730CA"/>
    <w:rsid w:val="00073D82"/>
    <w:rsid w:val="00076C8C"/>
    <w:rsid w:val="00076E0F"/>
    <w:rsid w:val="00081C58"/>
    <w:rsid w:val="00083C10"/>
    <w:rsid w:val="00083EAB"/>
    <w:rsid w:val="0008494E"/>
    <w:rsid w:val="00084B70"/>
    <w:rsid w:val="0008566C"/>
    <w:rsid w:val="000921A0"/>
    <w:rsid w:val="00092E95"/>
    <w:rsid w:val="00095441"/>
    <w:rsid w:val="00097619"/>
    <w:rsid w:val="000A028A"/>
    <w:rsid w:val="000A1A27"/>
    <w:rsid w:val="000A2398"/>
    <w:rsid w:val="000A3484"/>
    <w:rsid w:val="000A3CC0"/>
    <w:rsid w:val="000A4480"/>
    <w:rsid w:val="000A6513"/>
    <w:rsid w:val="000B05E6"/>
    <w:rsid w:val="000B05F9"/>
    <w:rsid w:val="000B25C9"/>
    <w:rsid w:val="000B29B8"/>
    <w:rsid w:val="000B347B"/>
    <w:rsid w:val="000B7995"/>
    <w:rsid w:val="000B7A04"/>
    <w:rsid w:val="000C1828"/>
    <w:rsid w:val="000C386F"/>
    <w:rsid w:val="000C55D9"/>
    <w:rsid w:val="000D101E"/>
    <w:rsid w:val="000D3378"/>
    <w:rsid w:val="000D441C"/>
    <w:rsid w:val="000D54DA"/>
    <w:rsid w:val="000D700E"/>
    <w:rsid w:val="000D7025"/>
    <w:rsid w:val="000D7784"/>
    <w:rsid w:val="000E082B"/>
    <w:rsid w:val="000E0956"/>
    <w:rsid w:val="000E4770"/>
    <w:rsid w:val="000E51C4"/>
    <w:rsid w:val="000E58FA"/>
    <w:rsid w:val="000E7653"/>
    <w:rsid w:val="000F0A13"/>
    <w:rsid w:val="000F0FE7"/>
    <w:rsid w:val="000F232F"/>
    <w:rsid w:val="000F39B1"/>
    <w:rsid w:val="000F404D"/>
    <w:rsid w:val="000F4B68"/>
    <w:rsid w:val="000F51FD"/>
    <w:rsid w:val="000F62D2"/>
    <w:rsid w:val="000F6942"/>
    <w:rsid w:val="000F7367"/>
    <w:rsid w:val="00100745"/>
    <w:rsid w:val="0010133C"/>
    <w:rsid w:val="001019DC"/>
    <w:rsid w:val="0010215E"/>
    <w:rsid w:val="001029A3"/>
    <w:rsid w:val="00102D05"/>
    <w:rsid w:val="00105A60"/>
    <w:rsid w:val="00105BCD"/>
    <w:rsid w:val="00106671"/>
    <w:rsid w:val="001104E4"/>
    <w:rsid w:val="00111BA2"/>
    <w:rsid w:val="001150B4"/>
    <w:rsid w:val="00115C14"/>
    <w:rsid w:val="001175E8"/>
    <w:rsid w:val="00120633"/>
    <w:rsid w:val="00122E1E"/>
    <w:rsid w:val="00123356"/>
    <w:rsid w:val="00125696"/>
    <w:rsid w:val="00130277"/>
    <w:rsid w:val="001303AD"/>
    <w:rsid w:val="00130724"/>
    <w:rsid w:val="00131E1C"/>
    <w:rsid w:val="00131FC3"/>
    <w:rsid w:val="00133B1B"/>
    <w:rsid w:val="001347B1"/>
    <w:rsid w:val="001365D5"/>
    <w:rsid w:val="00140097"/>
    <w:rsid w:val="00143956"/>
    <w:rsid w:val="00143C6E"/>
    <w:rsid w:val="0014431E"/>
    <w:rsid w:val="001465BE"/>
    <w:rsid w:val="00146B43"/>
    <w:rsid w:val="00147818"/>
    <w:rsid w:val="00151A69"/>
    <w:rsid w:val="00151CA8"/>
    <w:rsid w:val="001548E9"/>
    <w:rsid w:val="001566E9"/>
    <w:rsid w:val="00160C6D"/>
    <w:rsid w:val="001616D9"/>
    <w:rsid w:val="00162970"/>
    <w:rsid w:val="00162C98"/>
    <w:rsid w:val="00162FDA"/>
    <w:rsid w:val="00164A0B"/>
    <w:rsid w:val="00165DC9"/>
    <w:rsid w:val="001668A0"/>
    <w:rsid w:val="0016698D"/>
    <w:rsid w:val="00170B24"/>
    <w:rsid w:val="0017102E"/>
    <w:rsid w:val="0017139D"/>
    <w:rsid w:val="00171A19"/>
    <w:rsid w:val="00171BAB"/>
    <w:rsid w:val="00174718"/>
    <w:rsid w:val="0017524E"/>
    <w:rsid w:val="00177EBA"/>
    <w:rsid w:val="00177EC3"/>
    <w:rsid w:val="00180A1E"/>
    <w:rsid w:val="00181E71"/>
    <w:rsid w:val="00181FB9"/>
    <w:rsid w:val="0018339C"/>
    <w:rsid w:val="00187CD2"/>
    <w:rsid w:val="00190C17"/>
    <w:rsid w:val="0019275D"/>
    <w:rsid w:val="00192AC1"/>
    <w:rsid w:val="00192BA0"/>
    <w:rsid w:val="00192C18"/>
    <w:rsid w:val="0019588C"/>
    <w:rsid w:val="00197279"/>
    <w:rsid w:val="00197309"/>
    <w:rsid w:val="00197933"/>
    <w:rsid w:val="001A09C8"/>
    <w:rsid w:val="001A3F75"/>
    <w:rsid w:val="001A45CE"/>
    <w:rsid w:val="001A5E6B"/>
    <w:rsid w:val="001A7616"/>
    <w:rsid w:val="001B0F35"/>
    <w:rsid w:val="001B452F"/>
    <w:rsid w:val="001B4D69"/>
    <w:rsid w:val="001C0280"/>
    <w:rsid w:val="001C188B"/>
    <w:rsid w:val="001C26E9"/>
    <w:rsid w:val="001C6100"/>
    <w:rsid w:val="001C6E36"/>
    <w:rsid w:val="001C79E9"/>
    <w:rsid w:val="001D48ED"/>
    <w:rsid w:val="001D53C5"/>
    <w:rsid w:val="001D689D"/>
    <w:rsid w:val="001E0F10"/>
    <w:rsid w:val="001E2AEA"/>
    <w:rsid w:val="001E5189"/>
    <w:rsid w:val="001E63FE"/>
    <w:rsid w:val="001E72C0"/>
    <w:rsid w:val="001E7F34"/>
    <w:rsid w:val="001F54E5"/>
    <w:rsid w:val="001F5A14"/>
    <w:rsid w:val="002008D1"/>
    <w:rsid w:val="002024F9"/>
    <w:rsid w:val="002029FD"/>
    <w:rsid w:val="00203367"/>
    <w:rsid w:val="0020476B"/>
    <w:rsid w:val="0020484B"/>
    <w:rsid w:val="002050EA"/>
    <w:rsid w:val="002077DB"/>
    <w:rsid w:val="00207B03"/>
    <w:rsid w:val="00210015"/>
    <w:rsid w:val="00214B75"/>
    <w:rsid w:val="00215207"/>
    <w:rsid w:val="00215510"/>
    <w:rsid w:val="00220315"/>
    <w:rsid w:val="00222443"/>
    <w:rsid w:val="0022278E"/>
    <w:rsid w:val="00222A98"/>
    <w:rsid w:val="002232F4"/>
    <w:rsid w:val="00223B29"/>
    <w:rsid w:val="0022418A"/>
    <w:rsid w:val="002242C4"/>
    <w:rsid w:val="0022431D"/>
    <w:rsid w:val="00225580"/>
    <w:rsid w:val="00230563"/>
    <w:rsid w:val="002308C1"/>
    <w:rsid w:val="00235A07"/>
    <w:rsid w:val="00236629"/>
    <w:rsid w:val="00236E37"/>
    <w:rsid w:val="00237CC1"/>
    <w:rsid w:val="00237ECA"/>
    <w:rsid w:val="002411D2"/>
    <w:rsid w:val="00241280"/>
    <w:rsid w:val="00241AAC"/>
    <w:rsid w:val="00241BCB"/>
    <w:rsid w:val="002439C8"/>
    <w:rsid w:val="0024575A"/>
    <w:rsid w:val="0025079B"/>
    <w:rsid w:val="0025252F"/>
    <w:rsid w:val="00257A7E"/>
    <w:rsid w:val="00261160"/>
    <w:rsid w:val="00261CF3"/>
    <w:rsid w:val="002621D7"/>
    <w:rsid w:val="00263686"/>
    <w:rsid w:val="00263EEE"/>
    <w:rsid w:val="00265BF9"/>
    <w:rsid w:val="00266D31"/>
    <w:rsid w:val="00270FD2"/>
    <w:rsid w:val="00273447"/>
    <w:rsid w:val="00274411"/>
    <w:rsid w:val="002752A7"/>
    <w:rsid w:val="0028058F"/>
    <w:rsid w:val="002808E7"/>
    <w:rsid w:val="00280C34"/>
    <w:rsid w:val="00282EB3"/>
    <w:rsid w:val="00286BD1"/>
    <w:rsid w:val="00287786"/>
    <w:rsid w:val="00292E0B"/>
    <w:rsid w:val="00293DBE"/>
    <w:rsid w:val="00296B75"/>
    <w:rsid w:val="002A074E"/>
    <w:rsid w:val="002A0B17"/>
    <w:rsid w:val="002A360E"/>
    <w:rsid w:val="002A3ED7"/>
    <w:rsid w:val="002A44D6"/>
    <w:rsid w:val="002A5733"/>
    <w:rsid w:val="002A5AA0"/>
    <w:rsid w:val="002A63D7"/>
    <w:rsid w:val="002B7ADC"/>
    <w:rsid w:val="002C2239"/>
    <w:rsid w:val="002C3F45"/>
    <w:rsid w:val="002C3FEB"/>
    <w:rsid w:val="002C680C"/>
    <w:rsid w:val="002C6EFF"/>
    <w:rsid w:val="002D0D6D"/>
    <w:rsid w:val="002D7B9C"/>
    <w:rsid w:val="002D7E03"/>
    <w:rsid w:val="002E2DAE"/>
    <w:rsid w:val="002E3A23"/>
    <w:rsid w:val="002E515C"/>
    <w:rsid w:val="002E7B77"/>
    <w:rsid w:val="002F2A59"/>
    <w:rsid w:val="002F3478"/>
    <w:rsid w:val="002F7BB0"/>
    <w:rsid w:val="00304141"/>
    <w:rsid w:val="00305491"/>
    <w:rsid w:val="00307579"/>
    <w:rsid w:val="00311D7D"/>
    <w:rsid w:val="00316B41"/>
    <w:rsid w:val="00317260"/>
    <w:rsid w:val="0032285B"/>
    <w:rsid w:val="0032768D"/>
    <w:rsid w:val="00327D51"/>
    <w:rsid w:val="003300E4"/>
    <w:rsid w:val="00332BD9"/>
    <w:rsid w:val="00334FF3"/>
    <w:rsid w:val="00335509"/>
    <w:rsid w:val="00335D31"/>
    <w:rsid w:val="003376E8"/>
    <w:rsid w:val="00337C14"/>
    <w:rsid w:val="00337F66"/>
    <w:rsid w:val="003400A4"/>
    <w:rsid w:val="00343B17"/>
    <w:rsid w:val="003456F5"/>
    <w:rsid w:val="00345AA7"/>
    <w:rsid w:val="00346B5A"/>
    <w:rsid w:val="003507C5"/>
    <w:rsid w:val="00351215"/>
    <w:rsid w:val="00356E31"/>
    <w:rsid w:val="0036031B"/>
    <w:rsid w:val="0036629F"/>
    <w:rsid w:val="00367778"/>
    <w:rsid w:val="00367855"/>
    <w:rsid w:val="0036793E"/>
    <w:rsid w:val="0037037B"/>
    <w:rsid w:val="0037284F"/>
    <w:rsid w:val="00373028"/>
    <w:rsid w:val="00373372"/>
    <w:rsid w:val="0037590F"/>
    <w:rsid w:val="00377A15"/>
    <w:rsid w:val="00382E6A"/>
    <w:rsid w:val="00383001"/>
    <w:rsid w:val="00387B73"/>
    <w:rsid w:val="0039108D"/>
    <w:rsid w:val="00395B17"/>
    <w:rsid w:val="00397EC3"/>
    <w:rsid w:val="003A1D87"/>
    <w:rsid w:val="003A32CD"/>
    <w:rsid w:val="003A34BE"/>
    <w:rsid w:val="003A35CB"/>
    <w:rsid w:val="003A4137"/>
    <w:rsid w:val="003A4159"/>
    <w:rsid w:val="003A4A2E"/>
    <w:rsid w:val="003A6270"/>
    <w:rsid w:val="003A63C4"/>
    <w:rsid w:val="003A72A7"/>
    <w:rsid w:val="003B027D"/>
    <w:rsid w:val="003B2429"/>
    <w:rsid w:val="003B42B3"/>
    <w:rsid w:val="003B556E"/>
    <w:rsid w:val="003B5FA8"/>
    <w:rsid w:val="003C033F"/>
    <w:rsid w:val="003C34F2"/>
    <w:rsid w:val="003C4276"/>
    <w:rsid w:val="003C5135"/>
    <w:rsid w:val="003C5BCE"/>
    <w:rsid w:val="003C5F75"/>
    <w:rsid w:val="003C6770"/>
    <w:rsid w:val="003D124C"/>
    <w:rsid w:val="003D1EDA"/>
    <w:rsid w:val="003D2C00"/>
    <w:rsid w:val="003D674F"/>
    <w:rsid w:val="003E0385"/>
    <w:rsid w:val="003E1366"/>
    <w:rsid w:val="003E162C"/>
    <w:rsid w:val="003E4F6B"/>
    <w:rsid w:val="003E63A3"/>
    <w:rsid w:val="003E695D"/>
    <w:rsid w:val="003F46A9"/>
    <w:rsid w:val="003F7F84"/>
    <w:rsid w:val="00400209"/>
    <w:rsid w:val="00401ED7"/>
    <w:rsid w:val="004024FF"/>
    <w:rsid w:val="004033B4"/>
    <w:rsid w:val="00404612"/>
    <w:rsid w:val="00411CDB"/>
    <w:rsid w:val="004127D0"/>
    <w:rsid w:val="00414947"/>
    <w:rsid w:val="00414C5F"/>
    <w:rsid w:val="00421A8B"/>
    <w:rsid w:val="00421FF7"/>
    <w:rsid w:val="00422578"/>
    <w:rsid w:val="00422654"/>
    <w:rsid w:val="0042446B"/>
    <w:rsid w:val="00424638"/>
    <w:rsid w:val="004248F2"/>
    <w:rsid w:val="00431E2A"/>
    <w:rsid w:val="004325E9"/>
    <w:rsid w:val="004333AE"/>
    <w:rsid w:val="00434745"/>
    <w:rsid w:val="00435134"/>
    <w:rsid w:val="004408F6"/>
    <w:rsid w:val="004463FA"/>
    <w:rsid w:val="004466F3"/>
    <w:rsid w:val="004472E6"/>
    <w:rsid w:val="004505D8"/>
    <w:rsid w:val="00453041"/>
    <w:rsid w:val="00453261"/>
    <w:rsid w:val="00454E85"/>
    <w:rsid w:val="00455F63"/>
    <w:rsid w:val="00460766"/>
    <w:rsid w:val="00462415"/>
    <w:rsid w:val="00464AB6"/>
    <w:rsid w:val="004659F1"/>
    <w:rsid w:val="00470693"/>
    <w:rsid w:val="00471247"/>
    <w:rsid w:val="0047172D"/>
    <w:rsid w:val="0047211F"/>
    <w:rsid w:val="00475014"/>
    <w:rsid w:val="00475F33"/>
    <w:rsid w:val="00480149"/>
    <w:rsid w:val="0048024B"/>
    <w:rsid w:val="00480D8B"/>
    <w:rsid w:val="00481DF9"/>
    <w:rsid w:val="00483541"/>
    <w:rsid w:val="00484433"/>
    <w:rsid w:val="0048491D"/>
    <w:rsid w:val="0048538B"/>
    <w:rsid w:val="00487452"/>
    <w:rsid w:val="00487CCD"/>
    <w:rsid w:val="004917AD"/>
    <w:rsid w:val="00495864"/>
    <w:rsid w:val="004A1C5D"/>
    <w:rsid w:val="004A395E"/>
    <w:rsid w:val="004A54B5"/>
    <w:rsid w:val="004A5C50"/>
    <w:rsid w:val="004A5EF7"/>
    <w:rsid w:val="004A7091"/>
    <w:rsid w:val="004A7429"/>
    <w:rsid w:val="004B0015"/>
    <w:rsid w:val="004B1024"/>
    <w:rsid w:val="004B143B"/>
    <w:rsid w:val="004B23BB"/>
    <w:rsid w:val="004B3FFE"/>
    <w:rsid w:val="004B44DC"/>
    <w:rsid w:val="004B4D8E"/>
    <w:rsid w:val="004B6D90"/>
    <w:rsid w:val="004B782C"/>
    <w:rsid w:val="004B7B8B"/>
    <w:rsid w:val="004C192B"/>
    <w:rsid w:val="004C5821"/>
    <w:rsid w:val="004C5B56"/>
    <w:rsid w:val="004C5E4E"/>
    <w:rsid w:val="004C67A3"/>
    <w:rsid w:val="004D0706"/>
    <w:rsid w:val="004D17CE"/>
    <w:rsid w:val="004D2A3C"/>
    <w:rsid w:val="004D3E1C"/>
    <w:rsid w:val="004D4C4D"/>
    <w:rsid w:val="004D5620"/>
    <w:rsid w:val="004D5B7C"/>
    <w:rsid w:val="004E0B26"/>
    <w:rsid w:val="004E0D59"/>
    <w:rsid w:val="004E4031"/>
    <w:rsid w:val="004E519F"/>
    <w:rsid w:val="004E51DC"/>
    <w:rsid w:val="004E5750"/>
    <w:rsid w:val="004E5B73"/>
    <w:rsid w:val="004E797A"/>
    <w:rsid w:val="004F2035"/>
    <w:rsid w:val="004F5885"/>
    <w:rsid w:val="004F6A69"/>
    <w:rsid w:val="004F7908"/>
    <w:rsid w:val="00500217"/>
    <w:rsid w:val="00502561"/>
    <w:rsid w:val="00504A89"/>
    <w:rsid w:val="00504EBF"/>
    <w:rsid w:val="00511B36"/>
    <w:rsid w:val="005123AB"/>
    <w:rsid w:val="00513499"/>
    <w:rsid w:val="00517A9C"/>
    <w:rsid w:val="005225A4"/>
    <w:rsid w:val="00527ECF"/>
    <w:rsid w:val="005313C1"/>
    <w:rsid w:val="00531DB8"/>
    <w:rsid w:val="005321B5"/>
    <w:rsid w:val="005329D0"/>
    <w:rsid w:val="00533265"/>
    <w:rsid w:val="00533922"/>
    <w:rsid w:val="0053407E"/>
    <w:rsid w:val="00540066"/>
    <w:rsid w:val="00542687"/>
    <w:rsid w:val="0054332E"/>
    <w:rsid w:val="0054489C"/>
    <w:rsid w:val="005459B0"/>
    <w:rsid w:val="005529B1"/>
    <w:rsid w:val="00554BF0"/>
    <w:rsid w:val="00554FAD"/>
    <w:rsid w:val="00560912"/>
    <w:rsid w:val="00560B3E"/>
    <w:rsid w:val="00561522"/>
    <w:rsid w:val="0056222F"/>
    <w:rsid w:val="00562D67"/>
    <w:rsid w:val="00576057"/>
    <w:rsid w:val="00576CB1"/>
    <w:rsid w:val="00576DD0"/>
    <w:rsid w:val="00581A6E"/>
    <w:rsid w:val="00582363"/>
    <w:rsid w:val="00583F25"/>
    <w:rsid w:val="00585AB5"/>
    <w:rsid w:val="005903BA"/>
    <w:rsid w:val="00595A6A"/>
    <w:rsid w:val="005A1935"/>
    <w:rsid w:val="005A2EAA"/>
    <w:rsid w:val="005A3AB0"/>
    <w:rsid w:val="005A5D18"/>
    <w:rsid w:val="005A779F"/>
    <w:rsid w:val="005B2AE0"/>
    <w:rsid w:val="005B2B88"/>
    <w:rsid w:val="005B2F1F"/>
    <w:rsid w:val="005B64E5"/>
    <w:rsid w:val="005C10D3"/>
    <w:rsid w:val="005C1187"/>
    <w:rsid w:val="005C3EDC"/>
    <w:rsid w:val="005C45E5"/>
    <w:rsid w:val="005C66DA"/>
    <w:rsid w:val="005D086B"/>
    <w:rsid w:val="005D1D30"/>
    <w:rsid w:val="005D386C"/>
    <w:rsid w:val="005D48DC"/>
    <w:rsid w:val="005D7F70"/>
    <w:rsid w:val="005E0256"/>
    <w:rsid w:val="005E131D"/>
    <w:rsid w:val="005E1330"/>
    <w:rsid w:val="005E4955"/>
    <w:rsid w:val="005E5622"/>
    <w:rsid w:val="005E5EDA"/>
    <w:rsid w:val="005F0F32"/>
    <w:rsid w:val="005F3595"/>
    <w:rsid w:val="005F5EAE"/>
    <w:rsid w:val="005F7033"/>
    <w:rsid w:val="005F74DB"/>
    <w:rsid w:val="006020D6"/>
    <w:rsid w:val="0060337E"/>
    <w:rsid w:val="00604052"/>
    <w:rsid w:val="00604474"/>
    <w:rsid w:val="00604C64"/>
    <w:rsid w:val="00605DAC"/>
    <w:rsid w:val="00606AD4"/>
    <w:rsid w:val="00614790"/>
    <w:rsid w:val="00614D26"/>
    <w:rsid w:val="00617D58"/>
    <w:rsid w:val="0062208B"/>
    <w:rsid w:val="00624F46"/>
    <w:rsid w:val="00625814"/>
    <w:rsid w:val="006264EF"/>
    <w:rsid w:val="0062782F"/>
    <w:rsid w:val="00627ECE"/>
    <w:rsid w:val="00632277"/>
    <w:rsid w:val="00634011"/>
    <w:rsid w:val="0064064D"/>
    <w:rsid w:val="00642CE1"/>
    <w:rsid w:val="006455B4"/>
    <w:rsid w:val="006465BE"/>
    <w:rsid w:val="006517CE"/>
    <w:rsid w:val="0065475E"/>
    <w:rsid w:val="00655FBD"/>
    <w:rsid w:val="00657639"/>
    <w:rsid w:val="00662491"/>
    <w:rsid w:val="00662958"/>
    <w:rsid w:val="006633CA"/>
    <w:rsid w:val="006659B6"/>
    <w:rsid w:val="00666878"/>
    <w:rsid w:val="00667453"/>
    <w:rsid w:val="00671837"/>
    <w:rsid w:val="006719B2"/>
    <w:rsid w:val="00672EFD"/>
    <w:rsid w:val="0067304F"/>
    <w:rsid w:val="00673419"/>
    <w:rsid w:val="00673514"/>
    <w:rsid w:val="00675563"/>
    <w:rsid w:val="00675F49"/>
    <w:rsid w:val="00677893"/>
    <w:rsid w:val="00680180"/>
    <w:rsid w:val="00680A88"/>
    <w:rsid w:val="0068270A"/>
    <w:rsid w:val="0068509B"/>
    <w:rsid w:val="0068510B"/>
    <w:rsid w:val="00685757"/>
    <w:rsid w:val="00686050"/>
    <w:rsid w:val="00686D88"/>
    <w:rsid w:val="00687300"/>
    <w:rsid w:val="006A7112"/>
    <w:rsid w:val="006A7451"/>
    <w:rsid w:val="006B1D76"/>
    <w:rsid w:val="006B20FC"/>
    <w:rsid w:val="006B2EA2"/>
    <w:rsid w:val="006B30E9"/>
    <w:rsid w:val="006B3505"/>
    <w:rsid w:val="006B389C"/>
    <w:rsid w:val="006B73D8"/>
    <w:rsid w:val="006C1FDB"/>
    <w:rsid w:val="006C48FD"/>
    <w:rsid w:val="006C5026"/>
    <w:rsid w:val="006D0944"/>
    <w:rsid w:val="006D28BE"/>
    <w:rsid w:val="006D45AD"/>
    <w:rsid w:val="006D6033"/>
    <w:rsid w:val="006D6EC7"/>
    <w:rsid w:val="006D71A5"/>
    <w:rsid w:val="006D7386"/>
    <w:rsid w:val="006E19EB"/>
    <w:rsid w:val="006E1E6B"/>
    <w:rsid w:val="006E4969"/>
    <w:rsid w:val="006E750F"/>
    <w:rsid w:val="006E7FA6"/>
    <w:rsid w:val="006F116E"/>
    <w:rsid w:val="006F1704"/>
    <w:rsid w:val="006F1BF2"/>
    <w:rsid w:val="006F2169"/>
    <w:rsid w:val="006F3A5A"/>
    <w:rsid w:val="0070097B"/>
    <w:rsid w:val="0070111B"/>
    <w:rsid w:val="00701658"/>
    <w:rsid w:val="00703246"/>
    <w:rsid w:val="00704EEC"/>
    <w:rsid w:val="00706810"/>
    <w:rsid w:val="007069E0"/>
    <w:rsid w:val="00710554"/>
    <w:rsid w:val="00713C0E"/>
    <w:rsid w:val="00714F84"/>
    <w:rsid w:val="00716FE7"/>
    <w:rsid w:val="00717AA5"/>
    <w:rsid w:val="00717B7E"/>
    <w:rsid w:val="00721A1F"/>
    <w:rsid w:val="00721A92"/>
    <w:rsid w:val="007232E9"/>
    <w:rsid w:val="0072569D"/>
    <w:rsid w:val="00725880"/>
    <w:rsid w:val="00727636"/>
    <w:rsid w:val="007319BB"/>
    <w:rsid w:val="00731BC4"/>
    <w:rsid w:val="0073228F"/>
    <w:rsid w:val="00737A9E"/>
    <w:rsid w:val="00740C5B"/>
    <w:rsid w:val="00741B2F"/>
    <w:rsid w:val="00741FB6"/>
    <w:rsid w:val="0074322B"/>
    <w:rsid w:val="00743D98"/>
    <w:rsid w:val="00744E94"/>
    <w:rsid w:val="00745CDB"/>
    <w:rsid w:val="00750E79"/>
    <w:rsid w:val="00751394"/>
    <w:rsid w:val="00753B1E"/>
    <w:rsid w:val="0075402A"/>
    <w:rsid w:val="00763C01"/>
    <w:rsid w:val="007664F3"/>
    <w:rsid w:val="00766FAC"/>
    <w:rsid w:val="007736C1"/>
    <w:rsid w:val="007755BA"/>
    <w:rsid w:val="00776AF4"/>
    <w:rsid w:val="0078002C"/>
    <w:rsid w:val="00781ABC"/>
    <w:rsid w:val="0078201D"/>
    <w:rsid w:val="0078213E"/>
    <w:rsid w:val="00782747"/>
    <w:rsid w:val="00784A07"/>
    <w:rsid w:val="007867F6"/>
    <w:rsid w:val="00786A03"/>
    <w:rsid w:val="00787F69"/>
    <w:rsid w:val="00790BEE"/>
    <w:rsid w:val="00790F75"/>
    <w:rsid w:val="00791C95"/>
    <w:rsid w:val="0079277A"/>
    <w:rsid w:val="00795D90"/>
    <w:rsid w:val="00796EDE"/>
    <w:rsid w:val="00797A60"/>
    <w:rsid w:val="007A08F0"/>
    <w:rsid w:val="007A1E0E"/>
    <w:rsid w:val="007A2342"/>
    <w:rsid w:val="007A5A1F"/>
    <w:rsid w:val="007B15B2"/>
    <w:rsid w:val="007B257E"/>
    <w:rsid w:val="007B3039"/>
    <w:rsid w:val="007B3374"/>
    <w:rsid w:val="007B3482"/>
    <w:rsid w:val="007B6DE0"/>
    <w:rsid w:val="007B73FC"/>
    <w:rsid w:val="007B7F2C"/>
    <w:rsid w:val="007C0D7F"/>
    <w:rsid w:val="007C337F"/>
    <w:rsid w:val="007C4909"/>
    <w:rsid w:val="007C6255"/>
    <w:rsid w:val="007C632B"/>
    <w:rsid w:val="007C7851"/>
    <w:rsid w:val="007D13FD"/>
    <w:rsid w:val="007D1579"/>
    <w:rsid w:val="007D1728"/>
    <w:rsid w:val="007D229F"/>
    <w:rsid w:val="007D2683"/>
    <w:rsid w:val="007D2F63"/>
    <w:rsid w:val="007D33A0"/>
    <w:rsid w:val="007D5E5B"/>
    <w:rsid w:val="007D623D"/>
    <w:rsid w:val="007D6D11"/>
    <w:rsid w:val="007D7531"/>
    <w:rsid w:val="007E3F0C"/>
    <w:rsid w:val="007E4282"/>
    <w:rsid w:val="007F3B08"/>
    <w:rsid w:val="007F593D"/>
    <w:rsid w:val="00807CA3"/>
    <w:rsid w:val="0081146C"/>
    <w:rsid w:val="00811482"/>
    <w:rsid w:val="00812487"/>
    <w:rsid w:val="00812714"/>
    <w:rsid w:val="00814244"/>
    <w:rsid w:val="008143A3"/>
    <w:rsid w:val="008149E7"/>
    <w:rsid w:val="00816E22"/>
    <w:rsid w:val="0081778E"/>
    <w:rsid w:val="00821D54"/>
    <w:rsid w:val="0082240B"/>
    <w:rsid w:val="0082311C"/>
    <w:rsid w:val="00825E2E"/>
    <w:rsid w:val="00826951"/>
    <w:rsid w:val="0083068A"/>
    <w:rsid w:val="00834988"/>
    <w:rsid w:val="008354E6"/>
    <w:rsid w:val="00836F77"/>
    <w:rsid w:val="00841270"/>
    <w:rsid w:val="008431E7"/>
    <w:rsid w:val="00843554"/>
    <w:rsid w:val="00843DCF"/>
    <w:rsid w:val="00843E20"/>
    <w:rsid w:val="008455C2"/>
    <w:rsid w:val="00846709"/>
    <w:rsid w:val="008516FD"/>
    <w:rsid w:val="00851C91"/>
    <w:rsid w:val="008553C5"/>
    <w:rsid w:val="00855C08"/>
    <w:rsid w:val="00856AC2"/>
    <w:rsid w:val="00857E10"/>
    <w:rsid w:val="008641F0"/>
    <w:rsid w:val="008646A6"/>
    <w:rsid w:val="008667B6"/>
    <w:rsid w:val="0086782E"/>
    <w:rsid w:val="008700C9"/>
    <w:rsid w:val="00870576"/>
    <w:rsid w:val="00871561"/>
    <w:rsid w:val="00871744"/>
    <w:rsid w:val="0087306C"/>
    <w:rsid w:val="00873E2A"/>
    <w:rsid w:val="00875BA6"/>
    <w:rsid w:val="00876296"/>
    <w:rsid w:val="00876B17"/>
    <w:rsid w:val="00877C19"/>
    <w:rsid w:val="0088075F"/>
    <w:rsid w:val="008819BA"/>
    <w:rsid w:val="008831A0"/>
    <w:rsid w:val="00883E35"/>
    <w:rsid w:val="00886800"/>
    <w:rsid w:val="0088750A"/>
    <w:rsid w:val="008910D3"/>
    <w:rsid w:val="008913AD"/>
    <w:rsid w:val="00891E95"/>
    <w:rsid w:val="00892220"/>
    <w:rsid w:val="00893FE1"/>
    <w:rsid w:val="00894313"/>
    <w:rsid w:val="00894E67"/>
    <w:rsid w:val="00896710"/>
    <w:rsid w:val="008973C2"/>
    <w:rsid w:val="008A02E7"/>
    <w:rsid w:val="008A152F"/>
    <w:rsid w:val="008A2B9E"/>
    <w:rsid w:val="008A3FCD"/>
    <w:rsid w:val="008A635A"/>
    <w:rsid w:val="008A6994"/>
    <w:rsid w:val="008A6CD2"/>
    <w:rsid w:val="008B49DF"/>
    <w:rsid w:val="008B4FF8"/>
    <w:rsid w:val="008C058B"/>
    <w:rsid w:val="008C0DC7"/>
    <w:rsid w:val="008C15B5"/>
    <w:rsid w:val="008C57FB"/>
    <w:rsid w:val="008C6258"/>
    <w:rsid w:val="008C6685"/>
    <w:rsid w:val="008D01CB"/>
    <w:rsid w:val="008D0A7D"/>
    <w:rsid w:val="008D23A4"/>
    <w:rsid w:val="008D301D"/>
    <w:rsid w:val="008D3402"/>
    <w:rsid w:val="008D4664"/>
    <w:rsid w:val="008D5793"/>
    <w:rsid w:val="008D59F2"/>
    <w:rsid w:val="008E09B4"/>
    <w:rsid w:val="008E2506"/>
    <w:rsid w:val="008E5817"/>
    <w:rsid w:val="008E6695"/>
    <w:rsid w:val="008E6906"/>
    <w:rsid w:val="008F28CA"/>
    <w:rsid w:val="008F29DA"/>
    <w:rsid w:val="008F4FB1"/>
    <w:rsid w:val="00901FC2"/>
    <w:rsid w:val="00903B4A"/>
    <w:rsid w:val="009047AB"/>
    <w:rsid w:val="0090651D"/>
    <w:rsid w:val="0090756C"/>
    <w:rsid w:val="00910354"/>
    <w:rsid w:val="00914034"/>
    <w:rsid w:val="009143E4"/>
    <w:rsid w:val="009144A2"/>
    <w:rsid w:val="009146B7"/>
    <w:rsid w:val="00917373"/>
    <w:rsid w:val="0091759E"/>
    <w:rsid w:val="00917D55"/>
    <w:rsid w:val="00920879"/>
    <w:rsid w:val="009216AE"/>
    <w:rsid w:val="0092294B"/>
    <w:rsid w:val="00922A95"/>
    <w:rsid w:val="0093155D"/>
    <w:rsid w:val="00932F7F"/>
    <w:rsid w:val="00933421"/>
    <w:rsid w:val="00933546"/>
    <w:rsid w:val="00935E0C"/>
    <w:rsid w:val="009361C7"/>
    <w:rsid w:val="00937515"/>
    <w:rsid w:val="00940CB7"/>
    <w:rsid w:val="00942081"/>
    <w:rsid w:val="00943C96"/>
    <w:rsid w:val="009440EE"/>
    <w:rsid w:val="00944475"/>
    <w:rsid w:val="009450C1"/>
    <w:rsid w:val="00945102"/>
    <w:rsid w:val="00946784"/>
    <w:rsid w:val="009501DE"/>
    <w:rsid w:val="00950C0C"/>
    <w:rsid w:val="00950C25"/>
    <w:rsid w:val="009510DD"/>
    <w:rsid w:val="00960CDE"/>
    <w:rsid w:val="009640BE"/>
    <w:rsid w:val="00965968"/>
    <w:rsid w:val="009667E0"/>
    <w:rsid w:val="00975783"/>
    <w:rsid w:val="00980A71"/>
    <w:rsid w:val="0098156A"/>
    <w:rsid w:val="0098172B"/>
    <w:rsid w:val="00985E38"/>
    <w:rsid w:val="00986C29"/>
    <w:rsid w:val="00990DAD"/>
    <w:rsid w:val="009913CE"/>
    <w:rsid w:val="00997BD1"/>
    <w:rsid w:val="009A05E3"/>
    <w:rsid w:val="009A0D25"/>
    <w:rsid w:val="009A0FFC"/>
    <w:rsid w:val="009A4BCA"/>
    <w:rsid w:val="009A6077"/>
    <w:rsid w:val="009B1222"/>
    <w:rsid w:val="009B13B6"/>
    <w:rsid w:val="009B1EB7"/>
    <w:rsid w:val="009B2E44"/>
    <w:rsid w:val="009C2B09"/>
    <w:rsid w:val="009C758C"/>
    <w:rsid w:val="009C7F67"/>
    <w:rsid w:val="009D18A6"/>
    <w:rsid w:val="009D347F"/>
    <w:rsid w:val="009D3F30"/>
    <w:rsid w:val="009D3F34"/>
    <w:rsid w:val="009D5F46"/>
    <w:rsid w:val="009D611B"/>
    <w:rsid w:val="009E2A01"/>
    <w:rsid w:val="009E43AB"/>
    <w:rsid w:val="009E6213"/>
    <w:rsid w:val="009E7A44"/>
    <w:rsid w:val="009E7C21"/>
    <w:rsid w:val="009F088E"/>
    <w:rsid w:val="009F2469"/>
    <w:rsid w:val="009F4279"/>
    <w:rsid w:val="009F6853"/>
    <w:rsid w:val="009F72B1"/>
    <w:rsid w:val="009F7321"/>
    <w:rsid w:val="00A02366"/>
    <w:rsid w:val="00A02720"/>
    <w:rsid w:val="00A06137"/>
    <w:rsid w:val="00A07C8C"/>
    <w:rsid w:val="00A14AD0"/>
    <w:rsid w:val="00A15174"/>
    <w:rsid w:val="00A16936"/>
    <w:rsid w:val="00A17926"/>
    <w:rsid w:val="00A2198A"/>
    <w:rsid w:val="00A222B6"/>
    <w:rsid w:val="00A22F1B"/>
    <w:rsid w:val="00A244F5"/>
    <w:rsid w:val="00A264E6"/>
    <w:rsid w:val="00A27112"/>
    <w:rsid w:val="00A308DB"/>
    <w:rsid w:val="00A33F68"/>
    <w:rsid w:val="00A36728"/>
    <w:rsid w:val="00A36B0F"/>
    <w:rsid w:val="00A400DF"/>
    <w:rsid w:val="00A419DD"/>
    <w:rsid w:val="00A42416"/>
    <w:rsid w:val="00A44A22"/>
    <w:rsid w:val="00A45C5E"/>
    <w:rsid w:val="00A45E0F"/>
    <w:rsid w:val="00A47D29"/>
    <w:rsid w:val="00A47DFB"/>
    <w:rsid w:val="00A47F0B"/>
    <w:rsid w:val="00A50479"/>
    <w:rsid w:val="00A5169D"/>
    <w:rsid w:val="00A538BE"/>
    <w:rsid w:val="00A5657E"/>
    <w:rsid w:val="00A5698D"/>
    <w:rsid w:val="00A600B7"/>
    <w:rsid w:val="00A610A6"/>
    <w:rsid w:val="00A67B60"/>
    <w:rsid w:val="00A67F27"/>
    <w:rsid w:val="00A700A0"/>
    <w:rsid w:val="00A729D9"/>
    <w:rsid w:val="00A756B4"/>
    <w:rsid w:val="00A757DB"/>
    <w:rsid w:val="00A75F03"/>
    <w:rsid w:val="00A76B19"/>
    <w:rsid w:val="00A76C7A"/>
    <w:rsid w:val="00A81613"/>
    <w:rsid w:val="00A81CD9"/>
    <w:rsid w:val="00A82336"/>
    <w:rsid w:val="00A82BF8"/>
    <w:rsid w:val="00A8460E"/>
    <w:rsid w:val="00A8465E"/>
    <w:rsid w:val="00A86223"/>
    <w:rsid w:val="00A901D6"/>
    <w:rsid w:val="00A91E3E"/>
    <w:rsid w:val="00A93560"/>
    <w:rsid w:val="00A942C2"/>
    <w:rsid w:val="00A95553"/>
    <w:rsid w:val="00A96510"/>
    <w:rsid w:val="00AA2C0B"/>
    <w:rsid w:val="00AA33D3"/>
    <w:rsid w:val="00AA5766"/>
    <w:rsid w:val="00AA7B01"/>
    <w:rsid w:val="00AB29CF"/>
    <w:rsid w:val="00AB2B7B"/>
    <w:rsid w:val="00AB31FF"/>
    <w:rsid w:val="00AB4D0F"/>
    <w:rsid w:val="00AB5EC5"/>
    <w:rsid w:val="00AB61C6"/>
    <w:rsid w:val="00AB7D9F"/>
    <w:rsid w:val="00AC36E7"/>
    <w:rsid w:val="00AC3970"/>
    <w:rsid w:val="00AC3D27"/>
    <w:rsid w:val="00AC4399"/>
    <w:rsid w:val="00AC45AB"/>
    <w:rsid w:val="00AC5467"/>
    <w:rsid w:val="00AC5C41"/>
    <w:rsid w:val="00AD083D"/>
    <w:rsid w:val="00AD0EA3"/>
    <w:rsid w:val="00AD38CC"/>
    <w:rsid w:val="00AD4CC9"/>
    <w:rsid w:val="00AD52F9"/>
    <w:rsid w:val="00AD5A0B"/>
    <w:rsid w:val="00AD65EC"/>
    <w:rsid w:val="00AD76D4"/>
    <w:rsid w:val="00AE0ECF"/>
    <w:rsid w:val="00AE1264"/>
    <w:rsid w:val="00AE2D6C"/>
    <w:rsid w:val="00AE4060"/>
    <w:rsid w:val="00AE46B8"/>
    <w:rsid w:val="00AE4A9E"/>
    <w:rsid w:val="00AE4E3D"/>
    <w:rsid w:val="00AE5C17"/>
    <w:rsid w:val="00AF3A01"/>
    <w:rsid w:val="00AF4675"/>
    <w:rsid w:val="00AF7E6B"/>
    <w:rsid w:val="00B013F8"/>
    <w:rsid w:val="00B0197F"/>
    <w:rsid w:val="00B01D66"/>
    <w:rsid w:val="00B03E3D"/>
    <w:rsid w:val="00B05989"/>
    <w:rsid w:val="00B060B2"/>
    <w:rsid w:val="00B10382"/>
    <w:rsid w:val="00B10963"/>
    <w:rsid w:val="00B11DDF"/>
    <w:rsid w:val="00B1293F"/>
    <w:rsid w:val="00B14F19"/>
    <w:rsid w:val="00B17BEF"/>
    <w:rsid w:val="00B17C40"/>
    <w:rsid w:val="00B235DF"/>
    <w:rsid w:val="00B2506A"/>
    <w:rsid w:val="00B261A1"/>
    <w:rsid w:val="00B27553"/>
    <w:rsid w:val="00B27973"/>
    <w:rsid w:val="00B303EC"/>
    <w:rsid w:val="00B316F2"/>
    <w:rsid w:val="00B32DD3"/>
    <w:rsid w:val="00B34580"/>
    <w:rsid w:val="00B35083"/>
    <w:rsid w:val="00B37644"/>
    <w:rsid w:val="00B420F3"/>
    <w:rsid w:val="00B428BC"/>
    <w:rsid w:val="00B43485"/>
    <w:rsid w:val="00B457C3"/>
    <w:rsid w:val="00B46EDB"/>
    <w:rsid w:val="00B514EF"/>
    <w:rsid w:val="00B5235E"/>
    <w:rsid w:val="00B52CDD"/>
    <w:rsid w:val="00B559AC"/>
    <w:rsid w:val="00B602E2"/>
    <w:rsid w:val="00B62670"/>
    <w:rsid w:val="00B62EEF"/>
    <w:rsid w:val="00B63464"/>
    <w:rsid w:val="00B646BD"/>
    <w:rsid w:val="00B67B55"/>
    <w:rsid w:val="00B70E4C"/>
    <w:rsid w:val="00B71B49"/>
    <w:rsid w:val="00B72D20"/>
    <w:rsid w:val="00B74E49"/>
    <w:rsid w:val="00B75497"/>
    <w:rsid w:val="00B8055D"/>
    <w:rsid w:val="00B83A06"/>
    <w:rsid w:val="00B87262"/>
    <w:rsid w:val="00B91F0F"/>
    <w:rsid w:val="00B921BB"/>
    <w:rsid w:val="00B93FE0"/>
    <w:rsid w:val="00B9498F"/>
    <w:rsid w:val="00B94FFE"/>
    <w:rsid w:val="00BA0A8A"/>
    <w:rsid w:val="00BA39D1"/>
    <w:rsid w:val="00BA6F21"/>
    <w:rsid w:val="00BA7C97"/>
    <w:rsid w:val="00BB0FB5"/>
    <w:rsid w:val="00BB5F86"/>
    <w:rsid w:val="00BB711F"/>
    <w:rsid w:val="00BC3430"/>
    <w:rsid w:val="00BC3EC0"/>
    <w:rsid w:val="00BD0603"/>
    <w:rsid w:val="00BD0C19"/>
    <w:rsid w:val="00BD4347"/>
    <w:rsid w:val="00BD4964"/>
    <w:rsid w:val="00BD6100"/>
    <w:rsid w:val="00BD6FE7"/>
    <w:rsid w:val="00BD72BF"/>
    <w:rsid w:val="00BE3E90"/>
    <w:rsid w:val="00BE6855"/>
    <w:rsid w:val="00BE6A02"/>
    <w:rsid w:val="00BF11C0"/>
    <w:rsid w:val="00BF5E66"/>
    <w:rsid w:val="00BF76DE"/>
    <w:rsid w:val="00C00318"/>
    <w:rsid w:val="00C00D52"/>
    <w:rsid w:val="00C02CC2"/>
    <w:rsid w:val="00C105D9"/>
    <w:rsid w:val="00C10C9D"/>
    <w:rsid w:val="00C1209D"/>
    <w:rsid w:val="00C1266E"/>
    <w:rsid w:val="00C128DC"/>
    <w:rsid w:val="00C153FC"/>
    <w:rsid w:val="00C1558C"/>
    <w:rsid w:val="00C20FCC"/>
    <w:rsid w:val="00C21598"/>
    <w:rsid w:val="00C24469"/>
    <w:rsid w:val="00C2671B"/>
    <w:rsid w:val="00C27A0E"/>
    <w:rsid w:val="00C27EDE"/>
    <w:rsid w:val="00C33EA8"/>
    <w:rsid w:val="00C35A98"/>
    <w:rsid w:val="00C401F6"/>
    <w:rsid w:val="00C41591"/>
    <w:rsid w:val="00C4384F"/>
    <w:rsid w:val="00C44205"/>
    <w:rsid w:val="00C5048D"/>
    <w:rsid w:val="00C51F62"/>
    <w:rsid w:val="00C520E6"/>
    <w:rsid w:val="00C52D66"/>
    <w:rsid w:val="00C52F78"/>
    <w:rsid w:val="00C530F7"/>
    <w:rsid w:val="00C53DA4"/>
    <w:rsid w:val="00C54BD5"/>
    <w:rsid w:val="00C57DEF"/>
    <w:rsid w:val="00C636C3"/>
    <w:rsid w:val="00C659DF"/>
    <w:rsid w:val="00C710C6"/>
    <w:rsid w:val="00C71B4F"/>
    <w:rsid w:val="00C72DF1"/>
    <w:rsid w:val="00C73DD8"/>
    <w:rsid w:val="00C74D84"/>
    <w:rsid w:val="00C80BAA"/>
    <w:rsid w:val="00C8486A"/>
    <w:rsid w:val="00C85A4A"/>
    <w:rsid w:val="00C85A68"/>
    <w:rsid w:val="00C860A8"/>
    <w:rsid w:val="00C90302"/>
    <w:rsid w:val="00C9046D"/>
    <w:rsid w:val="00C9118A"/>
    <w:rsid w:val="00C92760"/>
    <w:rsid w:val="00C938FD"/>
    <w:rsid w:val="00C94BE4"/>
    <w:rsid w:val="00C96BB8"/>
    <w:rsid w:val="00C96E04"/>
    <w:rsid w:val="00CA215B"/>
    <w:rsid w:val="00CA4A59"/>
    <w:rsid w:val="00CA6213"/>
    <w:rsid w:val="00CA62FA"/>
    <w:rsid w:val="00CA70DC"/>
    <w:rsid w:val="00CB0CCE"/>
    <w:rsid w:val="00CB0FE6"/>
    <w:rsid w:val="00CB1985"/>
    <w:rsid w:val="00CB5684"/>
    <w:rsid w:val="00CB5693"/>
    <w:rsid w:val="00CB7DC9"/>
    <w:rsid w:val="00CC237D"/>
    <w:rsid w:val="00CC3374"/>
    <w:rsid w:val="00CC4655"/>
    <w:rsid w:val="00CD1587"/>
    <w:rsid w:val="00CD270F"/>
    <w:rsid w:val="00CD39BB"/>
    <w:rsid w:val="00CD4E78"/>
    <w:rsid w:val="00CD688C"/>
    <w:rsid w:val="00CD6F91"/>
    <w:rsid w:val="00CE03BE"/>
    <w:rsid w:val="00CE0DAA"/>
    <w:rsid w:val="00CE1FCF"/>
    <w:rsid w:val="00CE24D4"/>
    <w:rsid w:val="00CE2E5B"/>
    <w:rsid w:val="00CE6CC7"/>
    <w:rsid w:val="00CF27D2"/>
    <w:rsid w:val="00CF365B"/>
    <w:rsid w:val="00CF64A5"/>
    <w:rsid w:val="00CF659B"/>
    <w:rsid w:val="00D00219"/>
    <w:rsid w:val="00D0131D"/>
    <w:rsid w:val="00D01886"/>
    <w:rsid w:val="00D01ED9"/>
    <w:rsid w:val="00D025A0"/>
    <w:rsid w:val="00D029C5"/>
    <w:rsid w:val="00D04A69"/>
    <w:rsid w:val="00D0504B"/>
    <w:rsid w:val="00D056F7"/>
    <w:rsid w:val="00D1140D"/>
    <w:rsid w:val="00D12189"/>
    <w:rsid w:val="00D1258C"/>
    <w:rsid w:val="00D22894"/>
    <w:rsid w:val="00D2315F"/>
    <w:rsid w:val="00D235AB"/>
    <w:rsid w:val="00D2557F"/>
    <w:rsid w:val="00D256E9"/>
    <w:rsid w:val="00D265D6"/>
    <w:rsid w:val="00D2734D"/>
    <w:rsid w:val="00D274B2"/>
    <w:rsid w:val="00D31A96"/>
    <w:rsid w:val="00D33674"/>
    <w:rsid w:val="00D34D5E"/>
    <w:rsid w:val="00D353A0"/>
    <w:rsid w:val="00D44123"/>
    <w:rsid w:val="00D445DD"/>
    <w:rsid w:val="00D51BE2"/>
    <w:rsid w:val="00D52957"/>
    <w:rsid w:val="00D53659"/>
    <w:rsid w:val="00D536D4"/>
    <w:rsid w:val="00D53940"/>
    <w:rsid w:val="00D6044A"/>
    <w:rsid w:val="00D61329"/>
    <w:rsid w:val="00D6136C"/>
    <w:rsid w:val="00D6315D"/>
    <w:rsid w:val="00D635CC"/>
    <w:rsid w:val="00D63EB9"/>
    <w:rsid w:val="00D64AB4"/>
    <w:rsid w:val="00D65499"/>
    <w:rsid w:val="00D659DE"/>
    <w:rsid w:val="00D65BC8"/>
    <w:rsid w:val="00D65F23"/>
    <w:rsid w:val="00D7100C"/>
    <w:rsid w:val="00D74239"/>
    <w:rsid w:val="00D7518B"/>
    <w:rsid w:val="00D75590"/>
    <w:rsid w:val="00D76172"/>
    <w:rsid w:val="00D81D48"/>
    <w:rsid w:val="00D81D51"/>
    <w:rsid w:val="00D8247C"/>
    <w:rsid w:val="00D871B2"/>
    <w:rsid w:val="00D87DD0"/>
    <w:rsid w:val="00D87DDD"/>
    <w:rsid w:val="00D90179"/>
    <w:rsid w:val="00D913DD"/>
    <w:rsid w:val="00D919AF"/>
    <w:rsid w:val="00D92DF6"/>
    <w:rsid w:val="00D9473B"/>
    <w:rsid w:val="00D95416"/>
    <w:rsid w:val="00D95EEB"/>
    <w:rsid w:val="00D96974"/>
    <w:rsid w:val="00DA1E11"/>
    <w:rsid w:val="00DA23EE"/>
    <w:rsid w:val="00DA3D8C"/>
    <w:rsid w:val="00DA6A7E"/>
    <w:rsid w:val="00DA7A49"/>
    <w:rsid w:val="00DB225C"/>
    <w:rsid w:val="00DB303E"/>
    <w:rsid w:val="00DB46F4"/>
    <w:rsid w:val="00DB4FD4"/>
    <w:rsid w:val="00DB6E66"/>
    <w:rsid w:val="00DB7A4B"/>
    <w:rsid w:val="00DC09D4"/>
    <w:rsid w:val="00DD4123"/>
    <w:rsid w:val="00DD5F0B"/>
    <w:rsid w:val="00DD603B"/>
    <w:rsid w:val="00DD63E7"/>
    <w:rsid w:val="00DE00A3"/>
    <w:rsid w:val="00DE0151"/>
    <w:rsid w:val="00DE06E7"/>
    <w:rsid w:val="00DE1281"/>
    <w:rsid w:val="00DE153F"/>
    <w:rsid w:val="00DE24F5"/>
    <w:rsid w:val="00DE5706"/>
    <w:rsid w:val="00DE6A03"/>
    <w:rsid w:val="00DE715F"/>
    <w:rsid w:val="00DE730B"/>
    <w:rsid w:val="00DF0350"/>
    <w:rsid w:val="00DF03CD"/>
    <w:rsid w:val="00DF0856"/>
    <w:rsid w:val="00DF0A0D"/>
    <w:rsid w:val="00DF144D"/>
    <w:rsid w:val="00DF6664"/>
    <w:rsid w:val="00DF7E00"/>
    <w:rsid w:val="00E00C9A"/>
    <w:rsid w:val="00E024DC"/>
    <w:rsid w:val="00E03D2B"/>
    <w:rsid w:val="00E0493A"/>
    <w:rsid w:val="00E05EFE"/>
    <w:rsid w:val="00E07023"/>
    <w:rsid w:val="00E07050"/>
    <w:rsid w:val="00E104EE"/>
    <w:rsid w:val="00E10FBD"/>
    <w:rsid w:val="00E12758"/>
    <w:rsid w:val="00E13D08"/>
    <w:rsid w:val="00E14F0F"/>
    <w:rsid w:val="00E151A6"/>
    <w:rsid w:val="00E1523F"/>
    <w:rsid w:val="00E236F6"/>
    <w:rsid w:val="00E2462B"/>
    <w:rsid w:val="00E270DE"/>
    <w:rsid w:val="00E308B4"/>
    <w:rsid w:val="00E3131E"/>
    <w:rsid w:val="00E31323"/>
    <w:rsid w:val="00E31949"/>
    <w:rsid w:val="00E33024"/>
    <w:rsid w:val="00E33B17"/>
    <w:rsid w:val="00E33E77"/>
    <w:rsid w:val="00E352C5"/>
    <w:rsid w:val="00E35B47"/>
    <w:rsid w:val="00E3737F"/>
    <w:rsid w:val="00E41274"/>
    <w:rsid w:val="00E43C80"/>
    <w:rsid w:val="00E45598"/>
    <w:rsid w:val="00E51671"/>
    <w:rsid w:val="00E52208"/>
    <w:rsid w:val="00E52E7E"/>
    <w:rsid w:val="00E53CB9"/>
    <w:rsid w:val="00E542A1"/>
    <w:rsid w:val="00E552F7"/>
    <w:rsid w:val="00E57280"/>
    <w:rsid w:val="00E57570"/>
    <w:rsid w:val="00E60327"/>
    <w:rsid w:val="00E6170C"/>
    <w:rsid w:val="00E61E87"/>
    <w:rsid w:val="00E6226C"/>
    <w:rsid w:val="00E629BD"/>
    <w:rsid w:val="00E654B9"/>
    <w:rsid w:val="00E66FD4"/>
    <w:rsid w:val="00E670A8"/>
    <w:rsid w:val="00E702C8"/>
    <w:rsid w:val="00E711F4"/>
    <w:rsid w:val="00E72E0F"/>
    <w:rsid w:val="00E77CA3"/>
    <w:rsid w:val="00E77CB3"/>
    <w:rsid w:val="00E84246"/>
    <w:rsid w:val="00E85320"/>
    <w:rsid w:val="00E854BF"/>
    <w:rsid w:val="00E85D5E"/>
    <w:rsid w:val="00E86811"/>
    <w:rsid w:val="00E923E9"/>
    <w:rsid w:val="00E96A53"/>
    <w:rsid w:val="00E96CF6"/>
    <w:rsid w:val="00EA2D61"/>
    <w:rsid w:val="00EA578A"/>
    <w:rsid w:val="00EA6375"/>
    <w:rsid w:val="00EA6BF5"/>
    <w:rsid w:val="00EA7984"/>
    <w:rsid w:val="00EB31BA"/>
    <w:rsid w:val="00EB48A6"/>
    <w:rsid w:val="00EB53D1"/>
    <w:rsid w:val="00EB558A"/>
    <w:rsid w:val="00EB58B4"/>
    <w:rsid w:val="00EB5F3A"/>
    <w:rsid w:val="00EC0D00"/>
    <w:rsid w:val="00EC1888"/>
    <w:rsid w:val="00EC1B2C"/>
    <w:rsid w:val="00EC369E"/>
    <w:rsid w:val="00EC47B4"/>
    <w:rsid w:val="00EC76DE"/>
    <w:rsid w:val="00EC7E2B"/>
    <w:rsid w:val="00ED0897"/>
    <w:rsid w:val="00ED09DB"/>
    <w:rsid w:val="00ED136B"/>
    <w:rsid w:val="00ED2DCD"/>
    <w:rsid w:val="00ED3F59"/>
    <w:rsid w:val="00EE21B7"/>
    <w:rsid w:val="00EE2697"/>
    <w:rsid w:val="00EE29B6"/>
    <w:rsid w:val="00EE321C"/>
    <w:rsid w:val="00EE3BF3"/>
    <w:rsid w:val="00EE5777"/>
    <w:rsid w:val="00EF0912"/>
    <w:rsid w:val="00EF3334"/>
    <w:rsid w:val="00EF3B84"/>
    <w:rsid w:val="00EF5039"/>
    <w:rsid w:val="00EF5F7D"/>
    <w:rsid w:val="00F00BE0"/>
    <w:rsid w:val="00F023B3"/>
    <w:rsid w:val="00F03298"/>
    <w:rsid w:val="00F05614"/>
    <w:rsid w:val="00F0652D"/>
    <w:rsid w:val="00F0753C"/>
    <w:rsid w:val="00F07755"/>
    <w:rsid w:val="00F103FD"/>
    <w:rsid w:val="00F10475"/>
    <w:rsid w:val="00F11507"/>
    <w:rsid w:val="00F11845"/>
    <w:rsid w:val="00F15BE4"/>
    <w:rsid w:val="00F15F61"/>
    <w:rsid w:val="00F1770B"/>
    <w:rsid w:val="00F17AF4"/>
    <w:rsid w:val="00F20E08"/>
    <w:rsid w:val="00F22247"/>
    <w:rsid w:val="00F2382F"/>
    <w:rsid w:val="00F2436D"/>
    <w:rsid w:val="00F25B78"/>
    <w:rsid w:val="00F27B20"/>
    <w:rsid w:val="00F27D2D"/>
    <w:rsid w:val="00F313AC"/>
    <w:rsid w:val="00F3188B"/>
    <w:rsid w:val="00F329B1"/>
    <w:rsid w:val="00F32E32"/>
    <w:rsid w:val="00F33D45"/>
    <w:rsid w:val="00F34243"/>
    <w:rsid w:val="00F3448D"/>
    <w:rsid w:val="00F34578"/>
    <w:rsid w:val="00F37476"/>
    <w:rsid w:val="00F4151F"/>
    <w:rsid w:val="00F42591"/>
    <w:rsid w:val="00F440FF"/>
    <w:rsid w:val="00F46911"/>
    <w:rsid w:val="00F47412"/>
    <w:rsid w:val="00F47E27"/>
    <w:rsid w:val="00F5008F"/>
    <w:rsid w:val="00F512D7"/>
    <w:rsid w:val="00F51CCD"/>
    <w:rsid w:val="00F52781"/>
    <w:rsid w:val="00F5675B"/>
    <w:rsid w:val="00F60294"/>
    <w:rsid w:val="00F64135"/>
    <w:rsid w:val="00F6477D"/>
    <w:rsid w:val="00F67422"/>
    <w:rsid w:val="00F7052C"/>
    <w:rsid w:val="00F73031"/>
    <w:rsid w:val="00F7530D"/>
    <w:rsid w:val="00F758F8"/>
    <w:rsid w:val="00F7767F"/>
    <w:rsid w:val="00F82A5F"/>
    <w:rsid w:val="00F85592"/>
    <w:rsid w:val="00F855AE"/>
    <w:rsid w:val="00F85FD2"/>
    <w:rsid w:val="00F86667"/>
    <w:rsid w:val="00F86763"/>
    <w:rsid w:val="00F877A7"/>
    <w:rsid w:val="00FA0E78"/>
    <w:rsid w:val="00FA1966"/>
    <w:rsid w:val="00FA2254"/>
    <w:rsid w:val="00FA657B"/>
    <w:rsid w:val="00FA6C26"/>
    <w:rsid w:val="00FA7DCE"/>
    <w:rsid w:val="00FB1AD3"/>
    <w:rsid w:val="00FB328F"/>
    <w:rsid w:val="00FB53C6"/>
    <w:rsid w:val="00FB6FA2"/>
    <w:rsid w:val="00FB72AF"/>
    <w:rsid w:val="00FC0B82"/>
    <w:rsid w:val="00FC53F4"/>
    <w:rsid w:val="00FC75B1"/>
    <w:rsid w:val="00FD07A5"/>
    <w:rsid w:val="00FD2F9A"/>
    <w:rsid w:val="00FD3300"/>
    <w:rsid w:val="00FD4A59"/>
    <w:rsid w:val="00FD5A0F"/>
    <w:rsid w:val="00FD5F0C"/>
    <w:rsid w:val="00FD6479"/>
    <w:rsid w:val="00FD6850"/>
    <w:rsid w:val="00FD733C"/>
    <w:rsid w:val="00FD7A12"/>
    <w:rsid w:val="00FE0004"/>
    <w:rsid w:val="00FE25E9"/>
    <w:rsid w:val="00FE4B4F"/>
    <w:rsid w:val="00FE5462"/>
    <w:rsid w:val="00FE5B09"/>
    <w:rsid w:val="00FF0383"/>
    <w:rsid w:val="00FF1AD5"/>
    <w:rsid w:val="00FF33CE"/>
    <w:rsid w:val="00FF3DEE"/>
    <w:rsid w:val="00FF57E8"/>
    <w:rsid w:val="00FF71DB"/>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61289"/>
  <w15:chartTrackingRefBased/>
  <w15:docId w15:val="{2D33C40C-3D27-44F9-9E05-E515232F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90651D"/>
    <w:pPr>
      <w:keepNext/>
      <w:keepLines/>
      <w:numPr>
        <w:numId w:val="6"/>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0651D"/>
    <w:pPr>
      <w:keepNext/>
      <w:keepLines/>
      <w:numPr>
        <w:ilvl w:val="1"/>
        <w:numId w:val="6"/>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0651D"/>
    <w:pPr>
      <w:keepNext/>
      <w:keepLines/>
      <w:spacing w:before="40" w:after="0"/>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semiHidden/>
    <w:unhideWhenUsed/>
    <w:qFormat/>
    <w:rsid w:val="00595A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EBF"/>
    <w:rPr>
      <w:rFonts w:ascii="Verdana" w:eastAsiaTheme="majorEastAsia" w:hAnsi="Verdana" w:cstheme="majorBidi"/>
      <w:b/>
      <w:sz w:val="28"/>
      <w:szCs w:val="32"/>
    </w:rPr>
  </w:style>
  <w:style w:type="character" w:customStyle="1" w:styleId="Heading2Char">
    <w:name w:val="Heading 2 Char"/>
    <w:basedOn w:val="DefaultParagraphFont"/>
    <w:link w:val="Heading2"/>
    <w:uiPriority w:val="9"/>
    <w:rsid w:val="0036629F"/>
    <w:rPr>
      <w:rFonts w:ascii="Verdana" w:eastAsiaTheme="majorEastAsia" w:hAnsi="Verdana" w:cstheme="majorBidi"/>
      <w:b/>
      <w:sz w:val="24"/>
      <w:szCs w:val="26"/>
    </w:rPr>
  </w:style>
  <w:style w:type="paragraph" w:styleId="Title">
    <w:name w:val="Title"/>
    <w:basedOn w:val="Normal"/>
    <w:next w:val="Normal"/>
    <w:link w:val="TitleChar"/>
    <w:uiPriority w:val="10"/>
    <w:qFormat/>
    <w:rsid w:val="00D265D6"/>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D265D6"/>
    <w:rPr>
      <w:rFonts w:ascii="Verdana" w:eastAsiaTheme="majorEastAsia" w:hAnsi="Verdana" w:cstheme="majorBidi"/>
      <w:b/>
      <w:spacing w:val="-10"/>
      <w:kern w:val="28"/>
      <w:sz w:val="40"/>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customStyle="1" w:styleId="Style11">
    <w:name w:val="Style1 1"/>
    <w:basedOn w:val="Normal"/>
    <w:link w:val="Style11Char"/>
    <w:autoRedefine/>
    <w:qFormat/>
    <w:rsid w:val="00EB53D1"/>
    <w:pPr>
      <w:numPr>
        <w:numId w:val="1"/>
      </w:numPr>
    </w:pPr>
  </w:style>
  <w:style w:type="paragraph" w:customStyle="1" w:styleId="Stylea">
    <w:name w:val="Style a"/>
    <w:basedOn w:val="Style11"/>
    <w:link w:val="StyleaChar"/>
    <w:autoRedefine/>
    <w:qFormat/>
    <w:rsid w:val="0078201D"/>
  </w:style>
  <w:style w:type="character" w:customStyle="1" w:styleId="Style11Char">
    <w:name w:val="Style1 1 Char"/>
    <w:basedOn w:val="DefaultParagraphFont"/>
    <w:link w:val="Style11"/>
    <w:rsid w:val="00EB53D1"/>
    <w:rPr>
      <w:rFonts w:ascii="Verdana" w:hAnsi="Verdana"/>
      <w:sz w:val="24"/>
    </w:rPr>
  </w:style>
  <w:style w:type="paragraph" w:customStyle="1" w:styleId="Stylei">
    <w:name w:val="Style i"/>
    <w:basedOn w:val="Stylea"/>
    <w:link w:val="StyleiChar"/>
    <w:qFormat/>
    <w:rsid w:val="00A91E3E"/>
    <w:pPr>
      <w:numPr>
        <w:numId w:val="2"/>
      </w:numPr>
    </w:pPr>
  </w:style>
  <w:style w:type="character" w:customStyle="1" w:styleId="StyleaChar">
    <w:name w:val="Style a Char"/>
    <w:basedOn w:val="Style11Char"/>
    <w:link w:val="Stylea"/>
    <w:rsid w:val="0078201D"/>
    <w:rPr>
      <w:rFonts w:ascii="Verdana" w:hAnsi="Verdana"/>
      <w:sz w:val="24"/>
    </w:rPr>
  </w:style>
  <w:style w:type="table" w:styleId="TableGrid">
    <w:name w:val="Table Grid"/>
    <w:basedOn w:val="TableNormal"/>
    <w:rsid w:val="00171A19"/>
    <w:pPr>
      <w:spacing w:after="200" w:line="276"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iChar">
    <w:name w:val="Style i Char"/>
    <w:basedOn w:val="StyleaChar"/>
    <w:link w:val="Stylei"/>
    <w:rsid w:val="00A91E3E"/>
    <w:rPr>
      <w:rFonts w:ascii="Verdana" w:hAnsi="Verdana"/>
      <w:sz w:val="24"/>
    </w:rPr>
  </w:style>
  <w:style w:type="paragraph" w:customStyle="1" w:styleId="bullet1ofmore">
    <w:name w:val="bullet1ofmore"/>
    <w:rsid w:val="00A45E0F"/>
    <w:pPr>
      <w:numPr>
        <w:numId w:val="4"/>
      </w:numPr>
      <w:spacing w:before="160" w:after="60" w:line="240" w:lineRule="auto"/>
    </w:pPr>
    <w:rPr>
      <w:rFonts w:ascii="Arial" w:eastAsia="Times New Roman" w:hAnsi="Arial" w:cs="Times New Roman"/>
      <w:sz w:val="24"/>
      <w:szCs w:val="20"/>
    </w:rPr>
  </w:style>
  <w:style w:type="paragraph" w:customStyle="1" w:styleId="bulletlast">
    <w:name w:val="bulletlast"/>
    <w:rsid w:val="00A45E0F"/>
    <w:pPr>
      <w:numPr>
        <w:numId w:val="3"/>
      </w:numPr>
      <w:spacing w:before="60" w:line="240" w:lineRule="auto"/>
    </w:pPr>
    <w:rPr>
      <w:rFonts w:ascii="Arial" w:eastAsia="Times New Roman" w:hAnsi="Arial" w:cs="Times New Roman"/>
      <w:sz w:val="24"/>
      <w:szCs w:val="20"/>
    </w:rPr>
  </w:style>
  <w:style w:type="paragraph" w:customStyle="1" w:styleId="para1of1">
    <w:name w:val="para1of1"/>
    <w:basedOn w:val="Normal"/>
    <w:rsid w:val="00A45E0F"/>
    <w:pPr>
      <w:spacing w:before="160" w:line="240" w:lineRule="auto"/>
      <w:ind w:left="72"/>
    </w:pPr>
    <w:rPr>
      <w:rFonts w:ascii="Arial" w:eastAsia="Times New Roman" w:hAnsi="Arial" w:cs="Times New Roman"/>
      <w:szCs w:val="20"/>
    </w:rPr>
  </w:style>
  <w:style w:type="character" w:customStyle="1" w:styleId="Heading3Char">
    <w:name w:val="Heading 3 Char"/>
    <w:basedOn w:val="DefaultParagraphFont"/>
    <w:link w:val="Heading3"/>
    <w:uiPriority w:val="9"/>
    <w:rsid w:val="0090651D"/>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semiHidden/>
    <w:rsid w:val="00595A6A"/>
    <w:rPr>
      <w:rFonts w:asciiTheme="majorHAnsi" w:eastAsiaTheme="majorEastAsia" w:hAnsiTheme="majorHAnsi" w:cstheme="majorBidi"/>
      <w:i/>
      <w:iCs/>
      <w:color w:val="2E74B5" w:themeColor="accent1" w:themeShade="BF"/>
      <w:sz w:val="24"/>
    </w:rPr>
  </w:style>
  <w:style w:type="paragraph" w:styleId="TOCHeading">
    <w:name w:val="TOC Heading"/>
    <w:basedOn w:val="Heading1"/>
    <w:next w:val="Normal"/>
    <w:uiPriority w:val="39"/>
    <w:unhideWhenUsed/>
    <w:qFormat/>
    <w:rsid w:val="003F46A9"/>
    <w:pPr>
      <w:numPr>
        <w:numId w:val="0"/>
      </w:num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235DF"/>
    <w:pPr>
      <w:tabs>
        <w:tab w:val="left" w:pos="720"/>
        <w:tab w:val="right" w:leader="dot" w:pos="9350"/>
      </w:tabs>
      <w:spacing w:after="0"/>
    </w:pPr>
    <w:rPr>
      <w:rFonts w:asciiTheme="minorHAnsi" w:hAnsiTheme="minorHAnsi"/>
      <w:b/>
      <w:bCs/>
      <w:caps/>
      <w:sz w:val="20"/>
      <w:szCs w:val="20"/>
    </w:rPr>
  </w:style>
  <w:style w:type="paragraph" w:styleId="TOC2">
    <w:name w:val="toc 2"/>
    <w:basedOn w:val="Normal"/>
    <w:next w:val="Normal"/>
    <w:autoRedefine/>
    <w:uiPriority w:val="39"/>
    <w:unhideWhenUsed/>
    <w:rsid w:val="00C72DF1"/>
    <w:pPr>
      <w:tabs>
        <w:tab w:val="left" w:pos="720"/>
        <w:tab w:val="right" w:leader="dot" w:pos="9350"/>
      </w:tabs>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4A7429"/>
    <w:pPr>
      <w:tabs>
        <w:tab w:val="left" w:pos="960"/>
        <w:tab w:val="right" w:leader="dot" w:pos="9350"/>
      </w:tabs>
      <w:spacing w:after="0"/>
      <w:ind w:left="480"/>
    </w:pPr>
    <w:rPr>
      <w:rFonts w:asciiTheme="minorHAnsi" w:hAnsiTheme="minorHAnsi"/>
      <w:i/>
      <w:iCs/>
      <w:sz w:val="20"/>
      <w:szCs w:val="20"/>
    </w:rPr>
  </w:style>
  <w:style w:type="character" w:styleId="Hyperlink">
    <w:name w:val="Hyperlink"/>
    <w:basedOn w:val="DefaultParagraphFont"/>
    <w:uiPriority w:val="99"/>
    <w:unhideWhenUsed/>
    <w:rsid w:val="003F46A9"/>
    <w:rPr>
      <w:color w:val="0563C1" w:themeColor="hyperlink"/>
      <w:u w:val="single"/>
    </w:rPr>
  </w:style>
  <w:style w:type="paragraph" w:styleId="Header">
    <w:name w:val="header"/>
    <w:basedOn w:val="Normal"/>
    <w:link w:val="HeaderChar"/>
    <w:uiPriority w:val="99"/>
    <w:unhideWhenUsed/>
    <w:rsid w:val="0099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CE"/>
    <w:rPr>
      <w:rFonts w:ascii="Verdana" w:hAnsi="Verdana"/>
      <w:sz w:val="24"/>
    </w:rPr>
  </w:style>
  <w:style w:type="paragraph" w:styleId="Footer">
    <w:name w:val="footer"/>
    <w:basedOn w:val="Normal"/>
    <w:link w:val="FooterChar"/>
    <w:uiPriority w:val="99"/>
    <w:unhideWhenUsed/>
    <w:rsid w:val="0099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CE"/>
    <w:rPr>
      <w:rFonts w:ascii="Verdana" w:hAnsi="Verdana"/>
      <w:sz w:val="24"/>
    </w:rPr>
  </w:style>
  <w:style w:type="paragraph" w:styleId="BalloonText">
    <w:name w:val="Balloon Text"/>
    <w:basedOn w:val="Normal"/>
    <w:link w:val="BalloonTextChar"/>
    <w:uiPriority w:val="99"/>
    <w:semiHidden/>
    <w:unhideWhenUsed/>
    <w:rsid w:val="00991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3CE"/>
    <w:rPr>
      <w:rFonts w:ascii="Segoe UI" w:hAnsi="Segoe UI" w:cs="Segoe UI"/>
      <w:sz w:val="18"/>
      <w:szCs w:val="18"/>
    </w:rPr>
  </w:style>
  <w:style w:type="character" w:styleId="CommentReference">
    <w:name w:val="annotation reference"/>
    <w:basedOn w:val="DefaultParagraphFont"/>
    <w:unhideWhenUsed/>
    <w:rsid w:val="00B261A1"/>
    <w:rPr>
      <w:sz w:val="16"/>
      <w:szCs w:val="16"/>
    </w:rPr>
  </w:style>
  <w:style w:type="paragraph" w:styleId="CommentText">
    <w:name w:val="annotation text"/>
    <w:basedOn w:val="Normal"/>
    <w:link w:val="CommentTextChar"/>
    <w:uiPriority w:val="99"/>
    <w:unhideWhenUsed/>
    <w:rsid w:val="00B261A1"/>
    <w:pPr>
      <w:spacing w:line="240" w:lineRule="auto"/>
    </w:pPr>
    <w:rPr>
      <w:sz w:val="20"/>
      <w:szCs w:val="20"/>
    </w:rPr>
  </w:style>
  <w:style w:type="character" w:customStyle="1" w:styleId="CommentTextChar">
    <w:name w:val="Comment Text Char"/>
    <w:basedOn w:val="DefaultParagraphFont"/>
    <w:link w:val="CommentText"/>
    <w:uiPriority w:val="99"/>
    <w:rsid w:val="00B261A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261A1"/>
    <w:rPr>
      <w:b/>
      <w:bCs/>
    </w:rPr>
  </w:style>
  <w:style w:type="character" w:customStyle="1" w:styleId="CommentSubjectChar">
    <w:name w:val="Comment Subject Char"/>
    <w:basedOn w:val="CommentTextChar"/>
    <w:link w:val="CommentSubject"/>
    <w:uiPriority w:val="99"/>
    <w:semiHidden/>
    <w:rsid w:val="00B261A1"/>
    <w:rPr>
      <w:rFonts w:ascii="Verdana" w:hAnsi="Verdana"/>
      <w:b/>
      <w:bCs/>
      <w:sz w:val="20"/>
      <w:szCs w:val="20"/>
    </w:rPr>
  </w:style>
  <w:style w:type="paragraph" w:styleId="Revision">
    <w:name w:val="Revision"/>
    <w:hidden/>
    <w:uiPriority w:val="99"/>
    <w:semiHidden/>
    <w:rsid w:val="00903B4A"/>
    <w:pPr>
      <w:spacing w:after="0" w:line="240" w:lineRule="auto"/>
    </w:pPr>
    <w:rPr>
      <w:rFonts w:ascii="Verdana" w:hAnsi="Verdana"/>
      <w:sz w:val="24"/>
    </w:rPr>
  </w:style>
  <w:style w:type="paragraph" w:customStyle="1" w:styleId="Default">
    <w:name w:val="Default"/>
    <w:rsid w:val="00304141"/>
    <w:pPr>
      <w:autoSpaceDE w:val="0"/>
      <w:autoSpaceDN w:val="0"/>
      <w:adjustRightInd w:val="0"/>
      <w:spacing w:after="0" w:line="240" w:lineRule="auto"/>
    </w:pPr>
    <w:rPr>
      <w:rFonts w:ascii="Arial" w:hAnsi="Arial" w:cs="Arial"/>
      <w:color w:val="000000"/>
      <w:sz w:val="24"/>
      <w:szCs w:val="24"/>
    </w:rPr>
  </w:style>
  <w:style w:type="paragraph" w:customStyle="1" w:styleId="CM60">
    <w:name w:val="CM60"/>
    <w:basedOn w:val="Default"/>
    <w:next w:val="Default"/>
    <w:uiPriority w:val="99"/>
    <w:rsid w:val="00304141"/>
    <w:rPr>
      <w:color w:val="auto"/>
    </w:rPr>
  </w:style>
  <w:style w:type="paragraph" w:customStyle="1" w:styleId="CM63">
    <w:name w:val="CM63"/>
    <w:basedOn w:val="Default"/>
    <w:next w:val="Default"/>
    <w:uiPriority w:val="99"/>
    <w:rsid w:val="00304141"/>
    <w:rPr>
      <w:color w:val="auto"/>
    </w:rPr>
  </w:style>
  <w:style w:type="paragraph" w:customStyle="1" w:styleId="memo5">
    <w:name w:val="memo5"/>
    <w:basedOn w:val="Normal"/>
    <w:rsid w:val="00304141"/>
    <w:pPr>
      <w:tabs>
        <w:tab w:val="center" w:pos="4680"/>
      </w:tabs>
      <w:autoSpaceDE w:val="0"/>
      <w:autoSpaceDN w:val="0"/>
      <w:adjustRightInd w:val="0"/>
      <w:spacing w:after="0" w:line="240" w:lineRule="auto"/>
      <w:jc w:val="center"/>
    </w:pPr>
    <w:rPr>
      <w:rFonts w:ascii="Times New Roman" w:eastAsia="Times New Roman" w:hAnsi="Times New Roman" w:cs="Times New Roman"/>
      <w:szCs w:val="24"/>
    </w:rPr>
  </w:style>
  <w:style w:type="character" w:customStyle="1" w:styleId="CommentTextChar1">
    <w:name w:val="Comment Text Char1"/>
    <w:basedOn w:val="DefaultParagraphFont"/>
    <w:uiPriority w:val="99"/>
    <w:rsid w:val="001E72C0"/>
  </w:style>
  <w:style w:type="paragraph" w:styleId="ListParagraph">
    <w:name w:val="List Paragraph"/>
    <w:basedOn w:val="Normal"/>
    <w:uiPriority w:val="34"/>
    <w:qFormat/>
    <w:rsid w:val="00F67422"/>
    <w:pPr>
      <w:ind w:left="720"/>
      <w:contextualSpacing/>
    </w:pPr>
  </w:style>
  <w:style w:type="numbering" w:customStyle="1" w:styleId="InfoCOutline">
    <w:name w:val="InfoCOutline"/>
    <w:uiPriority w:val="99"/>
    <w:rsid w:val="004A7429"/>
    <w:pPr>
      <w:numPr>
        <w:numId w:val="5"/>
      </w:numPr>
    </w:pPr>
  </w:style>
  <w:style w:type="paragraph" w:styleId="TOC4">
    <w:name w:val="toc 4"/>
    <w:basedOn w:val="Normal"/>
    <w:next w:val="Normal"/>
    <w:autoRedefine/>
    <w:uiPriority w:val="39"/>
    <w:unhideWhenUsed/>
    <w:rsid w:val="004A7429"/>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4A7429"/>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4A7429"/>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4A7429"/>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4A7429"/>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4A7429"/>
    <w:pPr>
      <w:spacing w:after="0"/>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37a463-b99d-470c-8a85-4153a11441a9">Y2PHC7Y2YW5Y-937601532-53</_dlc_DocId>
    <_dlc_DocIdUrl xmlns="ea37a463-b99d-470c-8a85-4153a11441a9">
      <Url>https://txhhs.sharepoint.com/sites/hhsc/hsosm/iddbhs/bhs/_layouts/15/DocIdRedir.aspx?ID=Y2PHC7Y2YW5Y-937601532-53</Url>
      <Description>Y2PHC7Y2YW5Y-937601532-53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B50B2DC28224F459A05A6B2C7557A06" ma:contentTypeVersion="4" ma:contentTypeDescription="Create a new document." ma:contentTypeScope="" ma:versionID="fcdf83f89375c5ae1d4b41cf41ff02c3">
  <xsd:schema xmlns:xsd="http://www.w3.org/2001/XMLSchema" xmlns:xs="http://www.w3.org/2001/XMLSchema" xmlns:p="http://schemas.microsoft.com/office/2006/metadata/properties" xmlns:ns2="ea37a463-b99d-470c-8a85-4153a11441a9" xmlns:ns3="c872b60d-fa9b-4289-b97e-4492daaa1966" targetNamespace="http://schemas.microsoft.com/office/2006/metadata/properties" ma:root="true" ma:fieldsID="733e0416dc4ee0ef217015ca1dd09c05" ns2:_="" ns3:_="">
    <xsd:import namespace="ea37a463-b99d-470c-8a85-4153a11441a9"/>
    <xsd:import namespace="c872b60d-fa9b-4289-b97e-4492daaa19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b60d-fa9b-4289-b97e-4492daaa19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1A399-BE48-4AAF-8346-CB7BB22FE27E}">
  <ds:schemaRefs>
    <ds:schemaRef ds:uri="http://schemas.microsoft.com/office/2006/metadata/properties"/>
    <ds:schemaRef ds:uri="http://schemas.microsoft.com/office/infopath/2007/PartnerControls"/>
    <ds:schemaRef ds:uri="ea37a463-b99d-470c-8a85-4153a11441a9"/>
  </ds:schemaRefs>
</ds:datastoreItem>
</file>

<file path=customXml/itemProps2.xml><?xml version="1.0" encoding="utf-8"?>
<ds:datastoreItem xmlns:ds="http://schemas.openxmlformats.org/officeDocument/2006/customXml" ds:itemID="{17093B2A-924F-45A8-B857-23DF7EA40379}">
  <ds:schemaRefs>
    <ds:schemaRef ds:uri="http://schemas.microsoft.com/sharepoint/v3/contenttype/forms"/>
  </ds:schemaRefs>
</ds:datastoreItem>
</file>

<file path=customXml/itemProps3.xml><?xml version="1.0" encoding="utf-8"?>
<ds:datastoreItem xmlns:ds="http://schemas.openxmlformats.org/officeDocument/2006/customXml" ds:itemID="{2BC89FFC-446D-4079-8ED2-B128BDC0AA3C}">
  <ds:schemaRefs>
    <ds:schemaRef ds:uri="http://schemas.microsoft.com/sharepoint/events"/>
  </ds:schemaRefs>
</ds:datastoreItem>
</file>

<file path=customXml/itemProps4.xml><?xml version="1.0" encoding="utf-8"?>
<ds:datastoreItem xmlns:ds="http://schemas.openxmlformats.org/officeDocument/2006/customXml" ds:itemID="{E570EEDD-E049-455E-97BC-082202E3C1C2}">
  <ds:schemaRefs>
    <ds:schemaRef ds:uri="http://schemas.openxmlformats.org/officeDocument/2006/bibliography"/>
  </ds:schemaRefs>
</ds:datastoreItem>
</file>

<file path=customXml/itemProps5.xml><?xml version="1.0" encoding="utf-8"?>
<ds:datastoreItem xmlns:ds="http://schemas.openxmlformats.org/officeDocument/2006/customXml" ds:itemID="{50FB4F39-07AC-4D81-91D6-CD8080A90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c872b60d-fa9b-4289-b97e-4492daaa1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36</Pages>
  <Words>7920</Words>
  <Characters>45147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Allen,Tamara (HHSC/DSHS)</dc:creator>
  <cp:keywords/>
  <dc:description/>
  <cp:lastModifiedBy>HHSC</cp:lastModifiedBy>
  <cp:revision>8</cp:revision>
  <cp:lastPrinted>2019-03-05T21:35:00Z</cp:lastPrinted>
  <dcterms:created xsi:type="dcterms:W3CDTF">2023-05-05T00:42:00Z</dcterms:created>
  <dcterms:modified xsi:type="dcterms:W3CDTF">2023-08-30T19:33:00Z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0x010100DB50B2DC28224F459A05A6B2C7557A06</vt:lpwstr>
  </property>
  <property fmtid="{D5CDD505-2E9C-101B-9397-08002B2CF9AE}" pid="3" name="_dlc_DocIdItemGuid">
    <vt:lpwstr>104552bc-cce1-49bd-99aa-c3403437e182</vt:lpwstr>
  </property>
  <property fmtid="{D5CDD505-2E9C-101B-9397-08002B2CF9AE}" pid="4" name="GrammarlyDocumentId">
    <vt:lpwstr>8aa198f8b2f350bd6b05d1bafa8e4edf7d7d58e6a33fb26dbdc0da07b8616c92</vt:lpwstr>
  </property>
</Properties>
</file>